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935" w:rsidRDefault="00B42331">
      <w:pPr>
        <w:pStyle w:val="Ttulo"/>
        <w:jc w:val="right"/>
        <w:rPr>
          <w:rFonts w:ascii="Calibri" w:hAnsi="Calibri" w:cs="Calibri"/>
          <w:b w:val="0"/>
          <w:sz w:val="22"/>
          <w:szCs w:val="22"/>
          <w:u w:val="none"/>
        </w:rPr>
      </w:pPr>
      <w:r>
        <w:rPr>
          <w:rFonts w:ascii="Calibri" w:hAnsi="Calibri" w:cs="Calibri"/>
          <w:b w:val="0"/>
          <w:noProof/>
          <w:sz w:val="22"/>
          <w:szCs w:val="22"/>
          <w:u w:val="none"/>
          <w:lang w:val="es-SV" w:eastAsia="es-SV"/>
        </w:rPr>
        <w:pict>
          <v:shapetype id="shapetype_202" o:spid="_x0000_m1035" coordsize="21600,21600" o:spt="202" path="m,l,21600r21600,l21600,xe">
            <v:stroke joinstyle="miter"/>
            <v:path gradientshapeok="t" o:connecttype="rect"/>
          </v:shapetype>
        </w:pict>
      </w:r>
      <w:r>
        <w:rPr>
          <w:rFonts w:ascii="Calibri" w:hAnsi="Calibri" w:cs="Calibri"/>
          <w:b w:val="0"/>
          <w:noProof/>
          <w:sz w:val="22"/>
          <w:szCs w:val="22"/>
          <w:u w:val="none"/>
          <w:lang w:val="es-SV" w:eastAsia="es-SV"/>
        </w:rPr>
        <w:pict>
          <v:group id="_x0000_s1034" style="position:absolute;left:0;text-align:left;margin-left:-9.8pt;margin-top:-48.4pt;width:168.95pt;height:103.65pt;z-index:251658752" coordorigin="1505,449" coordsize="3379,2073">
            <v:shape id="Text Box 9" o:spid="_x0000_s1028" type="#shapetype_202" style="position:absolute;left:1505;top:1424;width:3379;height:1098" o:spt="202" path="m,l,21600r21600,l21600,xe" filled="f" stroked="f" strokecolor="#3465a4">
              <v:fill o:detectmouseclick="t"/>
              <v:stroke joinstyle="round" endcap="flat"/>
              <v:path gradientshapeok="t" o:connecttype="rect"/>
              <v:textbox>
                <w:txbxContent>
                  <w:p w:rsidR="00E04E8E" w:rsidRDefault="00E04E8E">
                    <w:pPr>
                      <w:overflowPunct w:val="0"/>
                      <w:jc w:val="center"/>
                    </w:pPr>
                    <w:r>
                      <w:rPr>
                        <w:rFonts w:ascii="Calibri" w:eastAsia="Calibri" w:hAnsi="Calibri"/>
                        <w:b/>
                        <w:sz w:val="18"/>
                        <w:szCs w:val="22"/>
                        <w:lang w:val="es-SV" w:eastAsia="en-US"/>
                      </w:rPr>
                      <w:t xml:space="preserve">Ministerio de Hacienda </w:t>
                    </w:r>
                  </w:p>
                  <w:p w:rsidR="00E04E8E" w:rsidRPr="00C33574" w:rsidRDefault="00E04E8E">
                    <w:pPr>
                      <w:overflowPunct w:val="0"/>
                      <w:jc w:val="center"/>
                      <w:rPr>
                        <w:sz w:val="22"/>
                      </w:rPr>
                    </w:pPr>
                    <w:r w:rsidRPr="00C33574">
                      <w:rPr>
                        <w:rFonts w:ascii="Calibri" w:eastAsia="Calibri" w:hAnsi="Calibri"/>
                        <w:sz w:val="16"/>
                        <w:szCs w:val="22"/>
                        <w:lang w:val="es-SV" w:eastAsia="en-US"/>
                      </w:rPr>
                      <w:t>Unidad de Acceso a la Información Pública</w:t>
                    </w:r>
                  </w:p>
                  <w:p w:rsidR="00E04E8E" w:rsidRDefault="00E04E8E">
                    <w:pPr>
                      <w:overflowPunct w:val="0"/>
                      <w:jc w:val="center"/>
                    </w:pPr>
                  </w:p>
                  <w:p w:rsidR="00E04E8E" w:rsidRDefault="00E04E8E">
                    <w:pPr>
                      <w:overflowPunct w:val="0"/>
                      <w:jc w:val="center"/>
                    </w:pPr>
                  </w:p>
                </w:txbxContent>
              </v:textbox>
            </v:shape>
            <v:rect id="Picture 10" o:spid="_x0000_s1029" style="position:absolute;left:2716;top:449;width:1097;height:991" stroked="f" strokecolor="#3465a4">
              <v:stroke joinstyle="round"/>
              <v:imagedata r:id="rId6" o:title="image2"/>
            </v:rect>
            <v:line id="Line 11" o:spid="_x0000_s1030" style="position:absolute" from="2777,1994" to="3832,1994">
              <v:fill o:detectmouseclick="t"/>
            </v:line>
            <v:line id="Line 12" o:spid="_x0000_s1031" style="position:absolute" from="3151,1994" to="3413,1994" strokeweight="1.06mm">
              <v:fill o:detectmouseclick="t"/>
            </v:line>
          </v:group>
        </w:pict>
      </w:r>
      <w:r w:rsidR="00F96A8D">
        <w:rPr>
          <w:rFonts w:ascii="Calibri" w:hAnsi="Calibri" w:cs="Calibri"/>
          <w:b w:val="0"/>
          <w:noProof/>
          <w:sz w:val="22"/>
          <w:szCs w:val="22"/>
          <w:u w:val="none"/>
          <w:lang w:val="es-SV" w:eastAsia="es-SV"/>
        </w:rPr>
        <w:drawing>
          <wp:anchor distT="0" distB="0" distL="133350" distR="120650" simplePos="0" relativeHeight="251656704" behindDoc="0" locked="0" layoutInCell="1" allowOverlap="1">
            <wp:simplePos x="0" y="0"/>
            <wp:positionH relativeFrom="column">
              <wp:posOffset>3886835</wp:posOffset>
            </wp:positionH>
            <wp:positionV relativeFrom="paragraph">
              <wp:posOffset>-433041</wp:posOffset>
            </wp:positionV>
            <wp:extent cx="1726565" cy="78549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pic:cNvPicPr>
                      <a:picLocks noChangeAspect="1" noChangeArrowheads="1"/>
                    </pic:cNvPicPr>
                  </pic:nvPicPr>
                  <pic:blipFill>
                    <a:blip r:embed="rId7" cstate="print"/>
                    <a:stretch>
                      <a:fillRect/>
                    </a:stretch>
                  </pic:blipFill>
                  <pic:spPr bwMode="auto">
                    <a:xfrm>
                      <a:off x="0" y="0"/>
                      <a:ext cx="1726565" cy="785495"/>
                    </a:xfrm>
                    <a:prstGeom prst="rect">
                      <a:avLst/>
                    </a:prstGeom>
                  </pic:spPr>
                </pic:pic>
              </a:graphicData>
            </a:graphic>
          </wp:anchor>
        </w:drawing>
      </w:r>
    </w:p>
    <w:p w:rsidR="008E3935" w:rsidRDefault="00074B17">
      <w:pPr>
        <w:pStyle w:val="Ttulo"/>
        <w:jc w:val="right"/>
        <w:rPr>
          <w:rFonts w:ascii="Calibri" w:hAnsi="Calibri" w:cs="Calibri"/>
          <w:b w:val="0"/>
          <w:sz w:val="22"/>
          <w:szCs w:val="22"/>
          <w:u w:val="none"/>
        </w:rPr>
      </w:pPr>
      <w:r>
        <w:rPr>
          <w:rFonts w:ascii="Calibri" w:hAnsi="Calibri" w:cs="Calibri"/>
          <w:b w:val="0"/>
          <w:noProof/>
          <w:sz w:val="22"/>
          <w:szCs w:val="22"/>
          <w:u w:val="none"/>
          <w:lang w:val="es-SV" w:eastAsia="es-SV"/>
        </w:rPr>
        <w:pict>
          <v:shapetype id="_x0000_t202" coordsize="21600,21600" o:spt="202" path="m,l,21600r21600,l21600,xe">
            <v:stroke joinstyle="miter"/>
            <v:path gradientshapeok="t" o:connecttype="rect"/>
          </v:shapetype>
          <v:shape id="Cuadro de texto 2" o:spid="_x0000_s1037" type="#_x0000_t202" style="position:absolute;left:0;text-align:left;margin-left:178.2pt;margin-top:-68.55pt;width:135.85pt;height:76.95pt;z-index:251659776;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KfGgA4tAgAAVQQAAA4AAAAAAAAAAAAAAAAALgIAAGRycy9l&#10;Mm9Eb2MueG1sUEsBAi0AFAAGAAgAAAAhAEhbJ3LbAAAABwEAAA8AAAAAAAAAAAAAAAAAhwQAAGRy&#10;cy9kb3ducmV2LnhtbFBLBQYAAAAABAAEAPMAAACPBQAAAAA=&#10;">
            <v:textbox style="mso-fit-shape-to-text:t">
              <w:txbxContent>
                <w:p w:rsidR="00074B17" w:rsidRDefault="00074B17" w:rsidP="00074B17">
                  <w:r>
                    <w:t>Versión pública de conformidad con el artículo 30 de la LAIP, por contener datos personales de terceros.</w:t>
                  </w:r>
                </w:p>
              </w:txbxContent>
            </v:textbox>
            <w10:wrap type="square"/>
          </v:shape>
        </w:pict>
      </w:r>
    </w:p>
    <w:p w:rsidR="008E3935" w:rsidRPr="007C213A" w:rsidRDefault="008E3935" w:rsidP="007C213A">
      <w:pPr>
        <w:pStyle w:val="Ttulo"/>
        <w:spacing w:line="276" w:lineRule="auto"/>
        <w:jc w:val="right"/>
        <w:rPr>
          <w:rFonts w:ascii="Calibri" w:hAnsi="Calibri" w:cs="Calibri"/>
          <w:b w:val="0"/>
          <w:sz w:val="22"/>
          <w:szCs w:val="22"/>
          <w:u w:val="none"/>
        </w:rPr>
      </w:pPr>
    </w:p>
    <w:p w:rsidR="008E3935" w:rsidRPr="007C213A" w:rsidRDefault="00F96A8D" w:rsidP="00B96A06">
      <w:pPr>
        <w:jc w:val="right"/>
        <w:rPr>
          <w:rFonts w:asciiTheme="minorHAnsi" w:hAnsiTheme="minorHAnsi" w:cstheme="minorHAnsi"/>
          <w:b/>
          <w:sz w:val="22"/>
          <w:szCs w:val="22"/>
          <w:lang w:val="es-SV"/>
        </w:rPr>
      </w:pPr>
      <w:r w:rsidRPr="007C213A">
        <w:rPr>
          <w:rFonts w:asciiTheme="minorHAnsi" w:hAnsiTheme="minorHAnsi" w:cstheme="minorHAnsi"/>
          <w:b/>
          <w:sz w:val="22"/>
          <w:szCs w:val="22"/>
          <w:lang w:val="es-SV"/>
        </w:rPr>
        <w:t>UAIP/RES.</w:t>
      </w:r>
      <w:r w:rsidR="00997F65" w:rsidRPr="007C213A">
        <w:rPr>
          <w:rFonts w:asciiTheme="minorHAnsi" w:hAnsiTheme="minorHAnsi" w:cstheme="minorHAnsi"/>
          <w:b/>
          <w:sz w:val="22"/>
          <w:szCs w:val="22"/>
          <w:lang w:val="es-SV"/>
        </w:rPr>
        <w:t>0</w:t>
      </w:r>
      <w:r w:rsidR="00F35AB5">
        <w:rPr>
          <w:rFonts w:asciiTheme="minorHAnsi" w:hAnsiTheme="minorHAnsi" w:cstheme="minorHAnsi"/>
          <w:b/>
          <w:sz w:val="22"/>
          <w:szCs w:val="22"/>
          <w:lang w:val="es-SV"/>
        </w:rPr>
        <w:t>275</w:t>
      </w:r>
      <w:r w:rsidRPr="007C213A">
        <w:rPr>
          <w:rFonts w:asciiTheme="minorHAnsi" w:hAnsiTheme="minorHAnsi" w:cstheme="minorHAnsi"/>
          <w:b/>
          <w:sz w:val="22"/>
          <w:szCs w:val="22"/>
          <w:lang w:val="es-SV"/>
        </w:rPr>
        <w:t>.1/201</w:t>
      </w:r>
      <w:r w:rsidR="00997F65" w:rsidRPr="007C213A">
        <w:rPr>
          <w:rFonts w:asciiTheme="minorHAnsi" w:hAnsiTheme="minorHAnsi" w:cstheme="minorHAnsi"/>
          <w:b/>
          <w:sz w:val="22"/>
          <w:szCs w:val="22"/>
          <w:lang w:val="es-SV"/>
        </w:rPr>
        <w:t>7</w:t>
      </w:r>
    </w:p>
    <w:p w:rsidR="008E3935" w:rsidRPr="007C213A" w:rsidRDefault="008E3935" w:rsidP="00B96A06">
      <w:pPr>
        <w:jc w:val="both"/>
        <w:rPr>
          <w:rFonts w:asciiTheme="minorHAnsi" w:hAnsiTheme="minorHAnsi" w:cstheme="minorHAnsi"/>
          <w:b/>
          <w:sz w:val="22"/>
          <w:szCs w:val="22"/>
          <w:lang w:val="es-SV"/>
        </w:rPr>
      </w:pPr>
    </w:p>
    <w:p w:rsidR="008E3935" w:rsidRPr="00BA159C" w:rsidRDefault="00F96A8D" w:rsidP="00B96A06">
      <w:pPr>
        <w:jc w:val="both"/>
        <w:rPr>
          <w:rFonts w:asciiTheme="minorHAnsi" w:eastAsia="Times New Roman" w:hAnsiTheme="minorHAnsi" w:cstheme="minorHAnsi"/>
          <w:lang w:val="es-SV"/>
        </w:rPr>
      </w:pPr>
      <w:r w:rsidRPr="00BA159C">
        <w:rPr>
          <w:rFonts w:asciiTheme="minorHAnsi" w:eastAsia="Times New Roman" w:hAnsiTheme="minorHAnsi" w:cstheme="minorHAnsi"/>
          <w:b/>
          <w:lang w:val="es-SV"/>
        </w:rPr>
        <w:t xml:space="preserve">MINISTERIO DE HACIENDA, UNIDAD DE ACCESO A LA INFORMACIÓN PÚBLICA: </w:t>
      </w:r>
      <w:r w:rsidRPr="00BA159C">
        <w:rPr>
          <w:rFonts w:asciiTheme="minorHAnsi" w:eastAsia="Times New Roman" w:hAnsiTheme="minorHAnsi" w:cstheme="minorHAnsi"/>
          <w:lang w:val="es-SV"/>
        </w:rPr>
        <w:t xml:space="preserve">San Salvador, a las  </w:t>
      </w:r>
      <w:r w:rsidR="00F35AB5" w:rsidRPr="00BA159C">
        <w:rPr>
          <w:rFonts w:asciiTheme="minorHAnsi" w:eastAsia="Times New Roman" w:hAnsiTheme="minorHAnsi" w:cstheme="minorHAnsi"/>
          <w:lang w:val="es-SV"/>
        </w:rPr>
        <w:t>nueve</w:t>
      </w:r>
      <w:r w:rsidRPr="00BA159C">
        <w:rPr>
          <w:rFonts w:asciiTheme="minorHAnsi" w:eastAsia="Times New Roman" w:hAnsiTheme="minorHAnsi" w:cstheme="minorHAnsi"/>
          <w:lang w:val="es-SV"/>
        </w:rPr>
        <w:t xml:space="preserve"> horas </w:t>
      </w:r>
      <w:r w:rsidR="00BD645B" w:rsidRPr="00BA159C">
        <w:rPr>
          <w:rFonts w:asciiTheme="minorHAnsi" w:eastAsia="Times New Roman" w:hAnsiTheme="minorHAnsi" w:cstheme="minorHAnsi"/>
          <w:lang w:val="es-SV"/>
        </w:rPr>
        <w:t>y veinte minutos</w:t>
      </w:r>
      <w:r w:rsidRPr="00BA159C">
        <w:rPr>
          <w:rFonts w:asciiTheme="minorHAnsi" w:eastAsia="Times New Roman" w:hAnsiTheme="minorHAnsi" w:cstheme="minorHAnsi"/>
          <w:lang w:val="es-SV"/>
        </w:rPr>
        <w:t xml:space="preserve"> del día </w:t>
      </w:r>
      <w:r w:rsidR="007C213A" w:rsidRPr="00BA159C">
        <w:rPr>
          <w:rFonts w:asciiTheme="minorHAnsi" w:eastAsia="Times New Roman" w:hAnsiTheme="minorHAnsi" w:cstheme="minorHAnsi"/>
          <w:lang w:val="es-SV"/>
        </w:rPr>
        <w:t>veintiocho</w:t>
      </w:r>
      <w:r w:rsidRPr="00BA159C">
        <w:rPr>
          <w:rFonts w:asciiTheme="minorHAnsi" w:eastAsia="Times New Roman" w:hAnsiTheme="minorHAnsi" w:cstheme="minorHAnsi"/>
          <w:lang w:val="es-SV"/>
        </w:rPr>
        <w:t xml:space="preserve"> de </w:t>
      </w:r>
      <w:r w:rsidR="00F35AB5" w:rsidRPr="00BA159C">
        <w:rPr>
          <w:rFonts w:asciiTheme="minorHAnsi" w:eastAsia="Times New Roman" w:hAnsiTheme="minorHAnsi" w:cstheme="minorHAnsi"/>
          <w:lang w:val="es-SV"/>
        </w:rPr>
        <w:t>agosto</w:t>
      </w:r>
      <w:r w:rsidRPr="00BA159C">
        <w:rPr>
          <w:rFonts w:asciiTheme="minorHAnsi" w:eastAsia="Times New Roman" w:hAnsiTheme="minorHAnsi" w:cstheme="minorHAnsi"/>
          <w:lang w:val="es-SV"/>
        </w:rPr>
        <w:t xml:space="preserve"> de dos mil diecisiete.</w:t>
      </w:r>
    </w:p>
    <w:p w:rsidR="008E3935" w:rsidRPr="00BA159C" w:rsidRDefault="008E3935" w:rsidP="00B96A06">
      <w:pPr>
        <w:jc w:val="both"/>
        <w:rPr>
          <w:rFonts w:asciiTheme="minorHAnsi" w:eastAsia="Times New Roman" w:hAnsiTheme="minorHAnsi" w:cstheme="minorHAnsi"/>
          <w:lang w:val="es-SV"/>
        </w:rPr>
      </w:pPr>
    </w:p>
    <w:p w:rsidR="00BA159C" w:rsidRDefault="00F96A8D" w:rsidP="00B96A06">
      <w:pPr>
        <w:jc w:val="both"/>
        <w:rPr>
          <w:rFonts w:asciiTheme="minorHAnsi" w:eastAsia="Times New Roman" w:hAnsiTheme="minorHAnsi" w:cstheme="minorHAnsi"/>
          <w:lang w:val="es-SV"/>
        </w:rPr>
      </w:pPr>
      <w:r w:rsidRPr="00BA159C">
        <w:rPr>
          <w:rFonts w:asciiTheme="minorHAnsi" w:eastAsia="Times New Roman" w:hAnsiTheme="minorHAnsi" w:cstheme="minorHAnsi"/>
          <w:lang w:val="es-SV"/>
        </w:rPr>
        <w:t xml:space="preserve">Vista la solicitud de acceso a la información, </w:t>
      </w:r>
      <w:r w:rsidR="00BA159C" w:rsidRPr="00BA159C">
        <w:rPr>
          <w:rFonts w:asciiTheme="minorHAnsi" w:eastAsia="Times New Roman" w:hAnsiTheme="minorHAnsi" w:cstheme="minorHAnsi"/>
          <w:lang w:val="es-SV"/>
        </w:rPr>
        <w:t xml:space="preserve">presentada por </w:t>
      </w:r>
      <w:r w:rsidR="00074B17">
        <w:rPr>
          <w:rFonts w:asciiTheme="minorHAnsi" w:eastAsia="Times New Roman" w:hAnsiTheme="minorHAnsi" w:cstheme="minorHAnsi"/>
          <w:b/>
          <w:lang w:val="es-SV"/>
        </w:rPr>
        <w:t>XXXXXXXXXXXXXXXXXXX</w:t>
      </w:r>
      <w:bookmarkStart w:id="0" w:name="_GoBack"/>
      <w:bookmarkEnd w:id="0"/>
      <w:r w:rsidR="00BA159C" w:rsidRPr="00BA159C">
        <w:rPr>
          <w:rFonts w:asciiTheme="minorHAnsi" w:eastAsia="Times New Roman" w:hAnsiTheme="minorHAnsi" w:cstheme="minorHAnsi"/>
          <w:lang w:val="es-SV"/>
        </w:rPr>
        <w:t xml:space="preserve">, identificada con el número MH-2017-0275, </w:t>
      </w:r>
      <w:r w:rsidR="007C213A" w:rsidRPr="00BA159C">
        <w:rPr>
          <w:rFonts w:asciiTheme="minorHAnsi" w:eastAsia="Times New Roman" w:hAnsiTheme="minorHAnsi" w:cstheme="minorHAnsi"/>
          <w:lang w:val="es-SV"/>
        </w:rPr>
        <w:t>admitida</w:t>
      </w:r>
      <w:r w:rsidRPr="00BA159C">
        <w:rPr>
          <w:rFonts w:asciiTheme="minorHAnsi" w:eastAsia="Times New Roman" w:hAnsiTheme="minorHAnsi" w:cstheme="minorHAnsi"/>
          <w:lang w:val="es-SV"/>
        </w:rPr>
        <w:t xml:space="preserve"> en esta Unidad el día </w:t>
      </w:r>
      <w:r w:rsidR="00F35AB5" w:rsidRPr="00BA159C">
        <w:rPr>
          <w:rFonts w:asciiTheme="minorHAnsi" w:eastAsia="Times New Roman" w:hAnsiTheme="minorHAnsi" w:cstheme="minorHAnsi"/>
          <w:lang w:val="es-SV"/>
        </w:rPr>
        <w:t>22  de agosto</w:t>
      </w:r>
      <w:r w:rsidRPr="00BA159C">
        <w:rPr>
          <w:rFonts w:asciiTheme="minorHAnsi" w:eastAsia="Times New Roman" w:hAnsiTheme="minorHAnsi" w:cstheme="minorHAnsi"/>
          <w:lang w:val="es-SV"/>
        </w:rPr>
        <w:t xml:space="preserve"> de dos mil diecisiete</w:t>
      </w:r>
      <w:r w:rsidRPr="00BA159C">
        <w:rPr>
          <w:rFonts w:asciiTheme="minorHAnsi" w:eastAsia="Times New Roman" w:hAnsiTheme="minorHAnsi" w:cstheme="minorHAnsi"/>
          <w:b/>
          <w:lang w:val="es-SV"/>
        </w:rPr>
        <w:t>,</w:t>
      </w:r>
      <w:r w:rsidRPr="00BA159C">
        <w:rPr>
          <w:rFonts w:asciiTheme="minorHAnsi" w:eastAsia="Times New Roman" w:hAnsiTheme="minorHAnsi" w:cstheme="minorHAnsi"/>
          <w:lang w:val="es-SV"/>
        </w:rPr>
        <w:t xml:space="preserve"> mediante la cual solicita</w:t>
      </w:r>
      <w:r w:rsidR="003F4DA2" w:rsidRPr="00BA159C">
        <w:rPr>
          <w:rFonts w:asciiTheme="minorHAnsi" w:eastAsia="Times New Roman" w:hAnsiTheme="minorHAnsi" w:cstheme="minorHAnsi"/>
          <w:lang w:val="es-SV"/>
        </w:rPr>
        <w:t>:</w:t>
      </w:r>
      <w:r w:rsidR="00676627" w:rsidRPr="00BA159C">
        <w:rPr>
          <w:rFonts w:asciiTheme="minorHAnsi" w:eastAsia="Times New Roman" w:hAnsiTheme="minorHAnsi" w:cstheme="minorHAnsi"/>
          <w:lang w:val="es-SV"/>
        </w:rPr>
        <w:t xml:space="preserve"> </w:t>
      </w:r>
    </w:p>
    <w:p w:rsidR="00BA159C" w:rsidRDefault="00F35AB5" w:rsidP="00B96A06">
      <w:pPr>
        <w:jc w:val="both"/>
        <w:rPr>
          <w:rFonts w:asciiTheme="minorHAnsi" w:eastAsia="Times New Roman" w:hAnsiTheme="minorHAnsi" w:cstheme="minorHAnsi"/>
          <w:lang w:val="es-SV"/>
        </w:rPr>
      </w:pPr>
      <w:r w:rsidRPr="00BA159C">
        <w:rPr>
          <w:rFonts w:asciiTheme="minorHAnsi" w:eastAsia="Times New Roman" w:hAnsiTheme="minorHAnsi" w:cstheme="minorHAnsi"/>
          <w:lang w:val="es-SV"/>
        </w:rPr>
        <w:t>1. Nombre o razón social de los compradores de Letras del Tesoro</w:t>
      </w:r>
      <w:r w:rsidR="00676627" w:rsidRPr="00BA159C">
        <w:rPr>
          <w:rFonts w:asciiTheme="minorHAnsi" w:eastAsia="Times New Roman" w:hAnsiTheme="minorHAnsi" w:cstheme="minorHAnsi"/>
          <w:lang w:val="es-SV"/>
        </w:rPr>
        <w:t xml:space="preserve"> </w:t>
      </w:r>
      <w:r w:rsidRPr="00BA159C">
        <w:rPr>
          <w:rFonts w:asciiTheme="minorHAnsi" w:eastAsia="Times New Roman" w:hAnsiTheme="minorHAnsi" w:cstheme="minorHAnsi"/>
          <w:lang w:val="es-SV"/>
        </w:rPr>
        <w:t>(LETES) del 2006-2016,</w:t>
      </w:r>
    </w:p>
    <w:p w:rsidR="00BA159C" w:rsidRDefault="00F35AB5" w:rsidP="00B96A06">
      <w:pPr>
        <w:jc w:val="both"/>
        <w:rPr>
          <w:rFonts w:asciiTheme="minorHAnsi" w:eastAsia="Times New Roman" w:hAnsiTheme="minorHAnsi" w:cstheme="minorHAnsi"/>
          <w:lang w:val="es-SV"/>
        </w:rPr>
      </w:pPr>
      <w:r w:rsidRPr="00BA159C">
        <w:rPr>
          <w:rFonts w:asciiTheme="minorHAnsi" w:eastAsia="Times New Roman" w:hAnsiTheme="minorHAnsi" w:cstheme="minorHAnsi"/>
          <w:lang w:val="es-SV"/>
        </w:rPr>
        <w:t>2. Nombre o razón social de los compradores de Bonos</w:t>
      </w:r>
      <w:r w:rsidR="00B12FE7" w:rsidRPr="00BA159C">
        <w:rPr>
          <w:rFonts w:asciiTheme="minorHAnsi" w:eastAsia="Times New Roman" w:hAnsiTheme="minorHAnsi" w:cstheme="minorHAnsi"/>
          <w:lang w:val="es-SV"/>
        </w:rPr>
        <w:t xml:space="preserve"> </w:t>
      </w:r>
      <w:r w:rsidRPr="00BA159C">
        <w:rPr>
          <w:rFonts w:asciiTheme="minorHAnsi" w:eastAsia="Times New Roman" w:hAnsiTheme="minorHAnsi" w:cstheme="minorHAnsi"/>
          <w:lang w:val="es-SV"/>
        </w:rPr>
        <w:t xml:space="preserve">(tenedores de bonos) en el mercado primario en el período 2006-2016 indicando la rentabilidad pactada (tasa de interés), </w:t>
      </w:r>
    </w:p>
    <w:p w:rsidR="008E3935" w:rsidRPr="00BA159C" w:rsidRDefault="00F35AB5" w:rsidP="00B96A06">
      <w:pPr>
        <w:jc w:val="both"/>
        <w:rPr>
          <w:rFonts w:asciiTheme="minorHAnsi" w:eastAsia="Times New Roman" w:hAnsiTheme="minorHAnsi" w:cstheme="minorHAnsi"/>
          <w:lang w:val="es-SV"/>
        </w:rPr>
      </w:pPr>
      <w:r w:rsidRPr="00BA159C">
        <w:rPr>
          <w:rFonts w:asciiTheme="minorHAnsi" w:eastAsia="Times New Roman" w:hAnsiTheme="minorHAnsi" w:cstheme="minorHAnsi"/>
          <w:lang w:val="es-SV"/>
        </w:rPr>
        <w:t>3. Porcentaje que representa la inversión en instrumentos financieros públicos (Letes y Bonos) en relación al total de inversiones financieras de las diferentes instituciones privadas del sistema financiero (aseguradoras, fondos de pensiones, banca comercial</w:t>
      </w:r>
      <w:r w:rsidR="00676627" w:rsidRPr="00BA159C">
        <w:rPr>
          <w:rFonts w:asciiTheme="minorHAnsi" w:eastAsia="Times New Roman" w:hAnsiTheme="minorHAnsi" w:cstheme="minorHAnsi"/>
          <w:lang w:val="es-SV"/>
        </w:rPr>
        <w:t>, casa corredora de bolsa) en el período 2006-2016.</w:t>
      </w:r>
    </w:p>
    <w:p w:rsidR="007C213A" w:rsidRPr="00BA159C" w:rsidRDefault="007C213A" w:rsidP="00B96A06">
      <w:pPr>
        <w:jc w:val="both"/>
        <w:rPr>
          <w:rFonts w:asciiTheme="minorHAnsi" w:hAnsiTheme="minorHAnsi" w:cstheme="minorHAnsi"/>
          <w:b/>
        </w:rPr>
      </w:pPr>
    </w:p>
    <w:p w:rsidR="008E3935" w:rsidRPr="00BA159C" w:rsidRDefault="00F96A8D" w:rsidP="00B96A06">
      <w:pPr>
        <w:ind w:firstLine="708"/>
        <w:jc w:val="both"/>
        <w:rPr>
          <w:rFonts w:asciiTheme="minorHAnsi" w:hAnsiTheme="minorHAnsi" w:cstheme="minorHAnsi"/>
          <w:b/>
        </w:rPr>
      </w:pPr>
      <w:r w:rsidRPr="00BA159C">
        <w:rPr>
          <w:rFonts w:asciiTheme="minorHAnsi" w:hAnsiTheme="minorHAnsi" w:cstheme="minorHAnsi"/>
          <w:b/>
        </w:rPr>
        <w:t>CONSIDERANDO:</w:t>
      </w:r>
    </w:p>
    <w:p w:rsidR="008E3935" w:rsidRPr="00BA159C" w:rsidRDefault="008E3935" w:rsidP="00B96A06">
      <w:pPr>
        <w:jc w:val="both"/>
        <w:rPr>
          <w:rFonts w:asciiTheme="minorHAnsi" w:hAnsiTheme="minorHAnsi" w:cstheme="minorHAnsi"/>
          <w:b/>
        </w:rPr>
      </w:pPr>
    </w:p>
    <w:p w:rsidR="006C5F07" w:rsidRPr="00BA159C" w:rsidRDefault="00F96A8D" w:rsidP="00B96A06">
      <w:pPr>
        <w:jc w:val="both"/>
        <w:rPr>
          <w:rFonts w:asciiTheme="minorHAnsi" w:hAnsiTheme="minorHAnsi" w:cstheme="minorHAnsi"/>
        </w:rPr>
      </w:pPr>
      <w:r w:rsidRPr="00BA159C">
        <w:rPr>
          <w:rFonts w:asciiTheme="minorHAnsi" w:hAnsiTheme="minorHAnsi" w:cstheme="minorHAnsi"/>
          <w:b/>
        </w:rPr>
        <w:t>I)</w:t>
      </w:r>
      <w:r w:rsidRPr="00BA159C">
        <w:rPr>
          <w:rFonts w:asciiTheme="minorHAnsi" w:hAnsiTheme="minorHAnsi" w:cstheme="minorHAnsi"/>
        </w:rPr>
        <w:t xml:space="preserve"> </w:t>
      </w:r>
      <w:r w:rsidR="006C5F07" w:rsidRPr="00BA159C">
        <w:rPr>
          <w:rFonts w:asciiTheme="minorHAnsi" w:hAnsiTheme="minorHAnsi" w:cstheme="minorHAnsi"/>
        </w:rPr>
        <w:t>En atención a lo dispuesto en el artículo 70 de la Ley de Acceso a la Información</w:t>
      </w:r>
      <w:r w:rsidR="00F25721" w:rsidRPr="00BA159C">
        <w:rPr>
          <w:rFonts w:asciiTheme="minorHAnsi" w:hAnsiTheme="minorHAnsi" w:cstheme="minorHAnsi"/>
        </w:rPr>
        <w:t xml:space="preserve"> (</w:t>
      </w:r>
      <w:r w:rsidR="00F260E4" w:rsidRPr="00BA159C">
        <w:rPr>
          <w:rFonts w:asciiTheme="minorHAnsi" w:hAnsiTheme="minorHAnsi" w:cstheme="minorHAnsi"/>
        </w:rPr>
        <w:t>en adelante LAIP)</w:t>
      </w:r>
      <w:r w:rsidR="006C5F07" w:rsidRPr="00BA159C">
        <w:rPr>
          <w:rFonts w:asciiTheme="minorHAnsi" w:hAnsiTheme="minorHAnsi" w:cstheme="minorHAnsi"/>
        </w:rPr>
        <w:t xml:space="preserve">, se remitió la solicitud de información bajo referencia MH-2017-0275, a la Dirección General de Tesorería, por medio electrónico en fecha  veintidós de agosto del presente año. </w:t>
      </w:r>
    </w:p>
    <w:p w:rsidR="006C5F07" w:rsidRPr="00BA159C" w:rsidRDefault="006C5F07" w:rsidP="00B96A06">
      <w:pPr>
        <w:jc w:val="both"/>
        <w:rPr>
          <w:rFonts w:asciiTheme="minorHAnsi" w:hAnsiTheme="minorHAnsi" w:cstheme="minorHAnsi"/>
        </w:rPr>
      </w:pPr>
    </w:p>
    <w:p w:rsidR="006C5F07" w:rsidRPr="00BA159C" w:rsidRDefault="006C5F07" w:rsidP="00B96A06">
      <w:pPr>
        <w:jc w:val="both"/>
        <w:rPr>
          <w:rFonts w:asciiTheme="minorHAnsi" w:hAnsiTheme="minorHAnsi" w:cstheme="minorHAnsi"/>
        </w:rPr>
      </w:pPr>
      <w:r w:rsidRPr="00BA159C">
        <w:rPr>
          <w:rFonts w:asciiTheme="minorHAnsi" w:hAnsiTheme="minorHAnsi" w:cstheme="minorHAnsi"/>
        </w:rPr>
        <w:t xml:space="preserve">En razón de lo anterior, la Dirección General de Tesorería, mediante correo electrónico de fecha veinticinco de agosto del año en curso, </w:t>
      </w:r>
      <w:r w:rsidR="00D5199E" w:rsidRPr="00BA159C">
        <w:rPr>
          <w:rFonts w:asciiTheme="minorHAnsi" w:hAnsiTheme="minorHAnsi" w:cstheme="minorHAnsi"/>
        </w:rPr>
        <w:t xml:space="preserve">remitió mediante archivo </w:t>
      </w:r>
      <w:r w:rsidR="00F260E4" w:rsidRPr="00BA159C">
        <w:rPr>
          <w:rFonts w:asciiTheme="minorHAnsi" w:hAnsiTheme="minorHAnsi" w:cstheme="minorHAnsi"/>
        </w:rPr>
        <w:t>PDF</w:t>
      </w:r>
      <w:r w:rsidR="00D5199E" w:rsidRPr="00BA159C">
        <w:rPr>
          <w:rFonts w:asciiTheme="minorHAnsi" w:hAnsiTheme="minorHAnsi" w:cstheme="minorHAnsi"/>
        </w:rPr>
        <w:t>, la información</w:t>
      </w:r>
      <w:r w:rsidR="00BA159C">
        <w:rPr>
          <w:rFonts w:asciiTheme="minorHAnsi" w:hAnsiTheme="minorHAnsi" w:cstheme="minorHAnsi"/>
        </w:rPr>
        <w:t xml:space="preserve"> agregada</w:t>
      </w:r>
      <w:r w:rsidR="00D5199E" w:rsidRPr="00BA159C">
        <w:rPr>
          <w:rFonts w:asciiTheme="minorHAnsi" w:hAnsiTheme="minorHAnsi" w:cstheme="minorHAnsi"/>
        </w:rPr>
        <w:t xml:space="preserve"> relativa a la colocación de LETES en el mercado primario período 2006-2016.</w:t>
      </w:r>
    </w:p>
    <w:p w:rsidR="008E63DB" w:rsidRPr="00BA159C" w:rsidRDefault="008E63DB" w:rsidP="00B96A06">
      <w:pPr>
        <w:jc w:val="both"/>
        <w:rPr>
          <w:rFonts w:asciiTheme="minorHAnsi" w:hAnsiTheme="minorHAnsi" w:cstheme="minorHAnsi"/>
        </w:rPr>
      </w:pPr>
    </w:p>
    <w:p w:rsidR="008E63DB" w:rsidRPr="00BA159C" w:rsidRDefault="008E63DB" w:rsidP="00B96A06">
      <w:pPr>
        <w:jc w:val="both"/>
        <w:rPr>
          <w:rFonts w:asciiTheme="minorHAnsi" w:hAnsiTheme="minorHAnsi" w:cstheme="minorHAnsi"/>
        </w:rPr>
      </w:pPr>
      <w:r w:rsidRPr="00BA159C">
        <w:rPr>
          <w:rFonts w:asciiTheme="minorHAnsi" w:hAnsiTheme="minorHAnsi" w:cstheme="minorHAnsi"/>
          <w:b/>
          <w:bCs/>
        </w:rPr>
        <w:t>II)</w:t>
      </w:r>
      <w:r w:rsidRPr="00BA159C">
        <w:rPr>
          <w:rFonts w:asciiTheme="minorHAnsi" w:hAnsiTheme="minorHAnsi" w:cstheme="minorHAnsi"/>
          <w:bCs/>
        </w:rPr>
        <w:t xml:space="preserve"> La </w:t>
      </w:r>
      <w:r w:rsidR="00F260E4" w:rsidRPr="00BA159C">
        <w:rPr>
          <w:rFonts w:asciiTheme="minorHAnsi" w:hAnsiTheme="minorHAnsi" w:cstheme="minorHAnsi"/>
          <w:bCs/>
        </w:rPr>
        <w:t>LAIP</w:t>
      </w:r>
      <w:r w:rsidRPr="00BA159C">
        <w:rPr>
          <w:rFonts w:asciiTheme="minorHAnsi" w:hAnsiTheme="minorHAnsi" w:cstheme="minorHAnsi"/>
          <w:bCs/>
        </w:rPr>
        <w:t xml:space="preserve">, en su artículo </w:t>
      </w:r>
      <w:r w:rsidRPr="00BA159C">
        <w:rPr>
          <w:rFonts w:asciiTheme="minorHAnsi" w:hAnsiTheme="minorHAnsi" w:cstheme="minorHAnsi"/>
        </w:rPr>
        <w:t>6 literal f), define como información confidencial aquella información privada en poder del Estado cuyo acceso público se prohíbe por mandato constitucional o legal en razón de un interés personal jurídicamente protegido y añade el artículo 24 literal d) de la Ley en referencia que se establece que   información confidencial  todo aquel  secreto considerado como tal por un  disposición  legal.</w:t>
      </w:r>
    </w:p>
    <w:p w:rsidR="008E63DB" w:rsidRPr="00BA159C" w:rsidRDefault="008E63DB" w:rsidP="00B96A06">
      <w:pPr>
        <w:jc w:val="both"/>
        <w:rPr>
          <w:rFonts w:asciiTheme="minorHAnsi" w:hAnsiTheme="minorHAnsi" w:cstheme="minorHAnsi"/>
        </w:rPr>
      </w:pPr>
    </w:p>
    <w:p w:rsidR="008E63DB" w:rsidRPr="00BA159C" w:rsidRDefault="008E63DB" w:rsidP="00B96A06">
      <w:pPr>
        <w:jc w:val="both"/>
        <w:rPr>
          <w:rFonts w:asciiTheme="minorHAnsi" w:hAnsiTheme="minorHAnsi" w:cstheme="minorHAnsi"/>
        </w:rPr>
      </w:pPr>
      <w:r w:rsidRPr="00BA159C">
        <w:rPr>
          <w:rFonts w:asciiTheme="minorHAnsi" w:hAnsiTheme="minorHAnsi" w:cstheme="minorHAnsi"/>
        </w:rPr>
        <w:t xml:space="preserve">Sobre el particular, es importante mencionar que la Ley de Anotaciones Electrónicas en Cuentas establece en su artículo 63,  que  los depósitos de valores que reciban las Depositarias estarán sujetos a  secreto y sólo podrá proporcionarse información sobre esas operaciones a su titular o a la persona que lo represente legítimamente, no obstante </w:t>
      </w:r>
      <w:r w:rsidRPr="00BA159C">
        <w:rPr>
          <w:rFonts w:asciiTheme="minorHAnsi" w:hAnsiTheme="minorHAnsi" w:cstheme="minorHAnsi"/>
        </w:rPr>
        <w:lastRenderedPageBreak/>
        <w:t>dicha disposición establece que el secreto bursátil no será obstáculo para esclarecer delitos o para impedir embargos sobre bienes.</w:t>
      </w:r>
    </w:p>
    <w:p w:rsidR="008E63DB" w:rsidRPr="00BA159C" w:rsidRDefault="008E63DB" w:rsidP="00B96A06">
      <w:pPr>
        <w:jc w:val="both"/>
        <w:rPr>
          <w:rFonts w:asciiTheme="minorHAnsi" w:hAnsiTheme="minorHAnsi" w:cstheme="minorHAnsi"/>
        </w:rPr>
      </w:pPr>
    </w:p>
    <w:p w:rsidR="008E63DB" w:rsidRPr="00BA159C" w:rsidRDefault="008E63DB" w:rsidP="00B96A06">
      <w:pPr>
        <w:jc w:val="both"/>
        <w:rPr>
          <w:rFonts w:asciiTheme="minorHAnsi" w:hAnsiTheme="minorHAnsi" w:cstheme="minorHAnsi"/>
        </w:rPr>
      </w:pPr>
      <w:r w:rsidRPr="00BA159C">
        <w:rPr>
          <w:rFonts w:asciiTheme="minorHAnsi" w:hAnsiTheme="minorHAnsi" w:cstheme="minorHAnsi"/>
        </w:rPr>
        <w:t>En consonancia con lo anterior es importante reiterar que la  ley antes  mencionada establece una obligación por  parte de dichas instituciones financieras para resguardar el secreto bursátil  ya que  es un derecho de los usuarios tener garantía de la confidencialidad de las operaciones que realizan en bolsa, por lo que de esa manera y por medio de la confianza  se asegura el Secreto  Bursátil, logrando que dichas instituciones financieras capten una mayor cantidad de recursos,  lo que resulta en una  mayor estabilidad del Sistema Financiero.</w:t>
      </w:r>
    </w:p>
    <w:p w:rsidR="008E63DB" w:rsidRPr="00BA159C" w:rsidRDefault="008E63DB" w:rsidP="00B96A06">
      <w:pPr>
        <w:jc w:val="both"/>
        <w:rPr>
          <w:rFonts w:asciiTheme="minorHAnsi" w:hAnsiTheme="minorHAnsi" w:cstheme="minorHAnsi"/>
        </w:rPr>
      </w:pPr>
    </w:p>
    <w:p w:rsidR="008E63DB" w:rsidRPr="00BA159C" w:rsidRDefault="008E63DB" w:rsidP="00B96A06">
      <w:pPr>
        <w:jc w:val="both"/>
        <w:rPr>
          <w:rFonts w:asciiTheme="minorHAnsi" w:hAnsiTheme="minorHAnsi" w:cstheme="minorHAnsi"/>
        </w:rPr>
      </w:pPr>
      <w:r w:rsidRPr="00BA159C">
        <w:rPr>
          <w:rFonts w:asciiTheme="minorHAnsi" w:hAnsiTheme="minorHAnsi" w:cstheme="minorHAnsi"/>
        </w:rPr>
        <w:t xml:space="preserve">El secreto bursátil, a su vez, funciona como  un  mecanismo por el cual  se protege  el derecho de los particulares  o clientes a mantener en confidencialidad la información  de sus operaciones siendo esto fundamental para reafirmar la confianza de los usuarios en las instituciones financieras,  ya que  dichas operaciones </w:t>
      </w:r>
      <w:r w:rsidR="00931399" w:rsidRPr="00BA159C">
        <w:rPr>
          <w:rFonts w:asciiTheme="minorHAnsi" w:hAnsiTheme="minorHAnsi" w:cstheme="minorHAnsi"/>
        </w:rPr>
        <w:t>bursátiles</w:t>
      </w:r>
      <w:r w:rsidRPr="00BA159C">
        <w:rPr>
          <w:rFonts w:asciiTheme="minorHAnsi" w:hAnsiTheme="minorHAnsi" w:cstheme="minorHAnsi"/>
        </w:rPr>
        <w:t xml:space="preserve">  están basadas en la confianza  que los particulares depositen en las instituciones que realizan dichas operaciones para el manejo de sus inversiones siendo la confidencialidad en estas operaciones la base fundamental para atraer a los clientes,  en este caso inversionistas, lo que  confirma  una vez </w:t>
      </w:r>
      <w:r w:rsidR="00931399" w:rsidRPr="00BA159C">
        <w:rPr>
          <w:rFonts w:asciiTheme="minorHAnsi" w:hAnsiTheme="minorHAnsi" w:cstheme="minorHAnsi"/>
        </w:rPr>
        <w:t>más</w:t>
      </w:r>
      <w:r w:rsidRPr="00BA159C">
        <w:rPr>
          <w:rFonts w:asciiTheme="minorHAnsi" w:hAnsiTheme="minorHAnsi" w:cstheme="minorHAnsi"/>
        </w:rPr>
        <w:t xml:space="preserve"> la importancia del Secreto </w:t>
      </w:r>
      <w:r w:rsidR="00931399" w:rsidRPr="00BA159C">
        <w:rPr>
          <w:rFonts w:asciiTheme="minorHAnsi" w:hAnsiTheme="minorHAnsi" w:cstheme="minorHAnsi"/>
        </w:rPr>
        <w:t>Bursátil</w:t>
      </w:r>
      <w:r w:rsidRPr="00BA159C">
        <w:rPr>
          <w:rFonts w:asciiTheme="minorHAnsi" w:hAnsiTheme="minorHAnsi" w:cstheme="minorHAnsi"/>
        </w:rPr>
        <w:t xml:space="preserve">, en la actividad </w:t>
      </w:r>
      <w:r w:rsidR="00931399" w:rsidRPr="00BA159C">
        <w:rPr>
          <w:rFonts w:asciiTheme="minorHAnsi" w:hAnsiTheme="minorHAnsi" w:cstheme="minorHAnsi"/>
        </w:rPr>
        <w:t>económica</w:t>
      </w:r>
      <w:r w:rsidRPr="00BA159C">
        <w:rPr>
          <w:rFonts w:asciiTheme="minorHAnsi" w:hAnsiTheme="minorHAnsi" w:cstheme="minorHAnsi"/>
        </w:rPr>
        <w:t xml:space="preserve"> y comercial del </w:t>
      </w:r>
      <w:r w:rsidR="00931399" w:rsidRPr="00BA159C">
        <w:rPr>
          <w:rFonts w:asciiTheme="minorHAnsi" w:hAnsiTheme="minorHAnsi" w:cstheme="minorHAnsi"/>
        </w:rPr>
        <w:t>país</w:t>
      </w:r>
      <w:r w:rsidRPr="00BA159C">
        <w:rPr>
          <w:rFonts w:asciiTheme="minorHAnsi" w:hAnsiTheme="minorHAnsi" w:cstheme="minorHAnsi"/>
        </w:rPr>
        <w:t xml:space="preserve">  </w:t>
      </w:r>
    </w:p>
    <w:p w:rsidR="008E63DB" w:rsidRPr="00BA159C" w:rsidRDefault="008E63DB" w:rsidP="00B96A06">
      <w:pPr>
        <w:jc w:val="both"/>
        <w:rPr>
          <w:rFonts w:asciiTheme="minorHAnsi" w:hAnsiTheme="minorHAnsi" w:cstheme="minorHAnsi"/>
        </w:rPr>
      </w:pPr>
    </w:p>
    <w:p w:rsidR="008E63DB" w:rsidRPr="00BA159C" w:rsidRDefault="008E63DB" w:rsidP="00B96A06">
      <w:pPr>
        <w:jc w:val="both"/>
        <w:rPr>
          <w:rFonts w:asciiTheme="minorHAnsi" w:eastAsiaTheme="minorHAnsi" w:hAnsiTheme="minorHAnsi" w:cstheme="minorHAnsi"/>
          <w:lang w:val="es-SV" w:eastAsia="en-US"/>
        </w:rPr>
      </w:pPr>
      <w:r w:rsidRPr="00BA159C">
        <w:rPr>
          <w:rFonts w:asciiTheme="minorHAnsi" w:hAnsiTheme="minorHAnsi" w:cstheme="minorHAnsi"/>
        </w:rPr>
        <w:t xml:space="preserve">De ahí, que la </w:t>
      </w:r>
      <w:r w:rsidR="00F260E4" w:rsidRPr="00BA159C">
        <w:rPr>
          <w:rFonts w:asciiTheme="minorHAnsi" w:hAnsiTheme="minorHAnsi" w:cstheme="minorHAnsi"/>
        </w:rPr>
        <w:t>LAIP</w:t>
      </w:r>
      <w:r w:rsidRPr="00BA159C">
        <w:rPr>
          <w:rFonts w:asciiTheme="minorHAnsi" w:hAnsiTheme="minorHAnsi" w:cstheme="minorHAnsi"/>
        </w:rPr>
        <w:t xml:space="preserve"> le ha establecido en su artículo 24 literal d)  el deber a este Ministerio  de proteger parte  de </w:t>
      </w:r>
      <w:r w:rsidRPr="00BA159C">
        <w:rPr>
          <w:rFonts w:asciiTheme="minorHAnsi" w:eastAsiaTheme="minorHAnsi" w:hAnsiTheme="minorHAnsi" w:cstheme="minorHAnsi"/>
          <w:lang w:val="es-SV" w:eastAsia="en-US"/>
        </w:rPr>
        <w:t>los datos solicitados,  de entre  los cuales se encuentran  los nombres de dichos inversionistas compradores de LETES y por las razones antes expresadas no es posible brindarle la información requerida en su solicitud de información pública, siendo lo procedente la entrega de los datos sobre la colocación de LETES, agregados por sectores según la información facilitada por la Dirección General de Tesorería.</w:t>
      </w:r>
    </w:p>
    <w:p w:rsidR="008E3935" w:rsidRPr="00BA159C" w:rsidRDefault="008E3935" w:rsidP="00B96A06">
      <w:pPr>
        <w:jc w:val="both"/>
        <w:rPr>
          <w:rFonts w:asciiTheme="minorHAnsi" w:hAnsiTheme="minorHAnsi" w:cstheme="minorHAnsi"/>
        </w:rPr>
      </w:pPr>
    </w:p>
    <w:p w:rsidR="00F260E4" w:rsidRPr="00BA159C" w:rsidRDefault="00931399" w:rsidP="00B96A06">
      <w:pPr>
        <w:jc w:val="both"/>
        <w:rPr>
          <w:rFonts w:asciiTheme="minorHAnsi" w:hAnsiTheme="minorHAnsi" w:cstheme="minorHAnsi"/>
        </w:rPr>
      </w:pPr>
      <w:r w:rsidRPr="00BA159C">
        <w:rPr>
          <w:rFonts w:asciiTheme="minorHAnsi" w:hAnsiTheme="minorHAnsi" w:cstheme="minorHAnsi"/>
          <w:b/>
        </w:rPr>
        <w:t>I</w:t>
      </w:r>
      <w:r w:rsidR="00F96A8D" w:rsidRPr="00BA159C">
        <w:rPr>
          <w:rFonts w:asciiTheme="minorHAnsi" w:hAnsiTheme="minorHAnsi" w:cstheme="minorHAnsi"/>
          <w:b/>
        </w:rPr>
        <w:t xml:space="preserve">II) </w:t>
      </w:r>
      <w:r w:rsidR="00F260E4" w:rsidRPr="00BA159C">
        <w:rPr>
          <w:rFonts w:asciiTheme="minorHAnsi" w:hAnsiTheme="minorHAnsi" w:cstheme="minorHAnsi"/>
        </w:rPr>
        <w:t xml:space="preserve">En </w:t>
      </w:r>
      <w:r w:rsidR="00BA159C">
        <w:rPr>
          <w:rFonts w:asciiTheme="minorHAnsi" w:hAnsiTheme="minorHAnsi" w:cstheme="minorHAnsi"/>
        </w:rPr>
        <w:t>lo relativo al</w:t>
      </w:r>
      <w:r w:rsidRPr="00BA159C">
        <w:rPr>
          <w:rFonts w:asciiTheme="minorHAnsi" w:hAnsiTheme="minorHAnsi" w:cstheme="minorHAnsi"/>
        </w:rPr>
        <w:t xml:space="preserve"> numeral </w:t>
      </w:r>
      <w:r w:rsidRPr="00BA159C">
        <w:rPr>
          <w:rFonts w:asciiTheme="minorHAnsi" w:eastAsia="Times New Roman" w:hAnsiTheme="minorHAnsi" w:cstheme="minorHAnsi"/>
          <w:lang w:val="es-SV"/>
        </w:rPr>
        <w:t>2</w:t>
      </w:r>
      <w:r w:rsidR="00B17A66" w:rsidRPr="00BA159C">
        <w:rPr>
          <w:rFonts w:asciiTheme="minorHAnsi" w:eastAsia="Times New Roman" w:hAnsiTheme="minorHAnsi" w:cstheme="minorHAnsi"/>
          <w:lang w:val="es-SV"/>
        </w:rPr>
        <w:t>)</w:t>
      </w:r>
      <w:r w:rsidRPr="00BA159C">
        <w:rPr>
          <w:rFonts w:asciiTheme="minorHAnsi" w:eastAsia="Times New Roman" w:hAnsiTheme="minorHAnsi" w:cstheme="minorHAnsi"/>
          <w:lang w:val="es-SV"/>
        </w:rPr>
        <w:t xml:space="preserve"> </w:t>
      </w:r>
      <w:r w:rsidR="00B17A66" w:rsidRPr="00BA159C">
        <w:rPr>
          <w:rFonts w:asciiTheme="minorHAnsi" w:eastAsia="Times New Roman" w:hAnsiTheme="minorHAnsi" w:cstheme="minorHAnsi"/>
          <w:lang w:val="es-SV"/>
        </w:rPr>
        <w:t xml:space="preserve">de la solicitud de información </w:t>
      </w:r>
      <w:r w:rsidR="00BA159C">
        <w:rPr>
          <w:rFonts w:asciiTheme="minorHAnsi" w:hAnsiTheme="minorHAnsi" w:cstheme="minorHAnsi"/>
        </w:rPr>
        <w:t xml:space="preserve">referente </w:t>
      </w:r>
      <w:r w:rsidR="00704019">
        <w:rPr>
          <w:rFonts w:asciiTheme="minorHAnsi" w:hAnsiTheme="minorHAnsi" w:cstheme="minorHAnsi"/>
        </w:rPr>
        <w:t>al nombre o razón social de los compradores de bonos (tenedores de bonos) en el mercado primario del periodo 2006- 2016, indicando la rentabilidad pactada,</w:t>
      </w:r>
      <w:r w:rsidR="00F260E4" w:rsidRPr="00BA159C">
        <w:rPr>
          <w:rFonts w:asciiTheme="minorHAnsi" w:eastAsia="Times New Roman" w:hAnsiTheme="minorHAnsi" w:cstheme="minorHAnsi"/>
          <w:lang w:val="es-SV"/>
        </w:rPr>
        <w:t xml:space="preserve"> </w:t>
      </w:r>
      <w:r w:rsidRPr="00BA159C">
        <w:rPr>
          <w:rFonts w:asciiTheme="minorHAnsi" w:eastAsia="Times New Roman" w:hAnsiTheme="minorHAnsi" w:cstheme="minorHAnsi"/>
          <w:lang w:val="es-SV"/>
        </w:rPr>
        <w:t xml:space="preserve"> </w:t>
      </w:r>
      <w:r w:rsidR="00704019">
        <w:rPr>
          <w:rFonts w:asciiTheme="minorHAnsi" w:eastAsia="Times New Roman" w:hAnsiTheme="minorHAnsi" w:cstheme="minorHAnsi"/>
          <w:lang w:val="es-SV"/>
        </w:rPr>
        <w:t xml:space="preserve">es importante señalar que existe el antecedente </w:t>
      </w:r>
      <w:r w:rsidR="00704019">
        <w:rPr>
          <w:rFonts w:asciiTheme="minorHAnsi" w:hAnsiTheme="minorHAnsi" w:cstheme="minorHAnsi"/>
        </w:rPr>
        <w:t xml:space="preserve">de la </w:t>
      </w:r>
      <w:r w:rsidRPr="00BA159C">
        <w:rPr>
          <w:rFonts w:asciiTheme="minorHAnsi" w:hAnsiTheme="minorHAnsi" w:cstheme="minorHAnsi"/>
        </w:rPr>
        <w:t xml:space="preserve">solicitud de información </w:t>
      </w:r>
      <w:r w:rsidRPr="00BA159C">
        <w:rPr>
          <w:rFonts w:asciiTheme="minorHAnsi" w:eastAsia="Times New Roman" w:hAnsiTheme="minorHAnsi" w:cstheme="minorHAnsi"/>
          <w:lang w:val="es-ES_tradnl"/>
        </w:rPr>
        <w:t xml:space="preserve">identificada con el número MH-2017-0258,  mediante la cual </w:t>
      </w:r>
      <w:r w:rsidR="00704019">
        <w:rPr>
          <w:rFonts w:asciiTheme="minorHAnsi" w:eastAsia="Times New Roman" w:hAnsiTheme="minorHAnsi" w:cstheme="minorHAnsi"/>
          <w:lang w:val="es-ES_tradnl"/>
        </w:rPr>
        <w:t>dio trámite a la petición de</w:t>
      </w:r>
      <w:r w:rsidRPr="00BA159C">
        <w:rPr>
          <w:rStyle w:val="apple-converted-space"/>
          <w:rFonts w:asciiTheme="minorHAnsi" w:hAnsiTheme="minorHAnsi" w:cstheme="minorHAnsi"/>
          <w:shd w:val="clear" w:color="auto" w:fill="FFFFFF"/>
        </w:rPr>
        <w:t xml:space="preserve"> el desagregado de los compradores (razón social) de los bonos en el mercado primario en el período 2006-2016, indicando la rentabilidad pactada (tasa de interés)</w:t>
      </w:r>
      <w:r w:rsidR="00704019">
        <w:rPr>
          <w:rStyle w:val="apple-converted-space"/>
          <w:rFonts w:asciiTheme="minorHAnsi" w:hAnsiTheme="minorHAnsi" w:cstheme="minorHAnsi"/>
          <w:shd w:val="clear" w:color="auto" w:fill="FFFFFF"/>
        </w:rPr>
        <w:t>; obteniéndose la siguiente respuesta de</w:t>
      </w:r>
      <w:r w:rsidR="00F260E4" w:rsidRPr="00BA159C">
        <w:rPr>
          <w:rStyle w:val="apple-converted-space"/>
          <w:rFonts w:asciiTheme="minorHAnsi" w:hAnsiTheme="minorHAnsi" w:cstheme="minorHAnsi"/>
          <w:shd w:val="clear" w:color="auto" w:fill="FFFFFF"/>
        </w:rPr>
        <w:t xml:space="preserve"> la Dirección General de Inversión y Crédito Público </w:t>
      </w:r>
      <w:r w:rsidR="00704019">
        <w:rPr>
          <w:rStyle w:val="apple-converted-space"/>
          <w:rFonts w:asciiTheme="minorHAnsi" w:hAnsiTheme="minorHAnsi" w:cstheme="minorHAnsi"/>
          <w:shd w:val="clear" w:color="auto" w:fill="FFFFFF"/>
        </w:rPr>
        <w:t xml:space="preserve">(DGICP) </w:t>
      </w:r>
      <w:r w:rsidR="00F260E4" w:rsidRPr="00BA159C">
        <w:rPr>
          <w:rFonts w:asciiTheme="minorHAnsi" w:hAnsiTheme="minorHAnsi" w:cstheme="minorHAnsi"/>
        </w:rPr>
        <w:t>mediante correo electrónico, de fecha quince de agosto del año en curso:</w:t>
      </w:r>
    </w:p>
    <w:p w:rsidR="00F260E4" w:rsidRDefault="00F260E4" w:rsidP="00B96A06">
      <w:pPr>
        <w:jc w:val="both"/>
        <w:rPr>
          <w:rFonts w:asciiTheme="minorHAnsi" w:hAnsiTheme="minorHAnsi" w:cstheme="minorHAnsi"/>
        </w:rPr>
      </w:pPr>
      <w:r w:rsidRPr="00BA159C">
        <w:rPr>
          <w:rFonts w:asciiTheme="minorHAnsi" w:hAnsiTheme="minorHAnsi" w:cstheme="minorHAnsi"/>
        </w:rPr>
        <w:t xml:space="preserve">“En atención al requerimiento contenido en el correo precedente, que se relaciona con la deuda externa del Gobierno Central proveniente de las emisiones de Títulos Valores realizadas en el período 2006-2016, acorde a los registros que posee esta Dependencia, en archivo adjunto se remite la información correspondiente, dónde se identifica cada una de las emisiones efectuadas por años con sus respectivos montos y la tasa de interés que se paga por las mismas; aclarando que para las operaciones de eurobonos realizadas en el </w:t>
      </w:r>
      <w:r w:rsidRPr="00BA159C">
        <w:rPr>
          <w:rFonts w:asciiTheme="minorHAnsi" w:hAnsiTheme="minorHAnsi" w:cstheme="minorHAnsi"/>
        </w:rPr>
        <w:lastRenderedPageBreak/>
        <w:t>mercado internacional, no se dispone de la información referida a los compradores en el mercado primario, que en general principalmente están conformados por Administradores de Fondos, Bancos y Fideicomisos, entre otros.”</w:t>
      </w:r>
    </w:p>
    <w:p w:rsidR="00704019" w:rsidRDefault="00704019" w:rsidP="00B96A06">
      <w:pPr>
        <w:jc w:val="both"/>
        <w:rPr>
          <w:rFonts w:asciiTheme="minorHAnsi" w:hAnsiTheme="minorHAnsi" w:cstheme="minorHAnsi"/>
        </w:rPr>
      </w:pPr>
    </w:p>
    <w:p w:rsidR="00704019" w:rsidRDefault="00704019" w:rsidP="00B96A06">
      <w:pPr>
        <w:jc w:val="both"/>
        <w:rPr>
          <w:rFonts w:asciiTheme="minorHAnsi" w:hAnsiTheme="minorHAnsi" w:cstheme="minorHAnsi"/>
        </w:rPr>
      </w:pPr>
      <w:r>
        <w:rPr>
          <w:rFonts w:asciiTheme="minorHAnsi" w:hAnsiTheme="minorHAnsi" w:cstheme="minorHAnsi"/>
        </w:rPr>
        <w:t xml:space="preserve">En tal sentido, dicha petición fue </w:t>
      </w:r>
      <w:r>
        <w:rPr>
          <w:rFonts w:asciiTheme="minorHAnsi" w:eastAsia="Times New Roman" w:hAnsiTheme="minorHAnsi" w:cstheme="minorHAnsi"/>
          <w:lang w:val="es-ES_tradnl"/>
        </w:rPr>
        <w:t xml:space="preserve">resuelta el </w:t>
      </w:r>
      <w:r w:rsidRPr="00BA159C">
        <w:rPr>
          <w:rFonts w:asciiTheme="minorHAnsi" w:eastAsia="Times New Roman" w:hAnsiTheme="minorHAnsi" w:cstheme="minorHAnsi"/>
          <w:lang w:val="es-ES_tradnl"/>
        </w:rPr>
        <w:t>veinticuatro de agosto del presente año</w:t>
      </w:r>
      <w:r>
        <w:rPr>
          <w:rFonts w:asciiTheme="minorHAnsi" w:eastAsia="Times New Roman" w:hAnsiTheme="minorHAnsi" w:cstheme="minorHAnsi"/>
          <w:lang w:val="es-ES_tradnl"/>
        </w:rPr>
        <w:t>, determinando que no se dispone de información sobre los nombres de los compradores de bonos y se concedió acceso como información pública la tasa de interés de las respectivas emisiones según lo proporcionado por la DGICP, siendo procedente compartir dicha información con la actual solicitante.</w:t>
      </w:r>
    </w:p>
    <w:p w:rsidR="00704019" w:rsidRDefault="00704019" w:rsidP="00B96A06">
      <w:pPr>
        <w:jc w:val="both"/>
        <w:rPr>
          <w:rFonts w:asciiTheme="minorHAnsi" w:hAnsiTheme="minorHAnsi" w:cstheme="minorHAnsi"/>
        </w:rPr>
      </w:pPr>
    </w:p>
    <w:p w:rsidR="006F3B77" w:rsidRPr="00BA159C" w:rsidRDefault="009C166C" w:rsidP="00B96A06">
      <w:pPr>
        <w:jc w:val="both"/>
        <w:rPr>
          <w:rFonts w:asciiTheme="minorHAnsi" w:hAnsiTheme="minorHAnsi" w:cstheme="minorHAnsi"/>
        </w:rPr>
      </w:pPr>
      <w:r w:rsidRPr="00BA159C">
        <w:rPr>
          <w:rFonts w:asciiTheme="minorHAnsi" w:hAnsiTheme="minorHAnsi" w:cstheme="minorHAnsi"/>
          <w:b/>
        </w:rPr>
        <w:t xml:space="preserve">IV) </w:t>
      </w:r>
      <w:r w:rsidR="006F3B77" w:rsidRPr="00BA159C">
        <w:rPr>
          <w:rFonts w:asciiTheme="minorHAnsi" w:hAnsiTheme="minorHAnsi" w:cstheme="minorHAnsi"/>
        </w:rPr>
        <w:t>El artículo 68 inciso 2° de la Ley de Acceso a la Información Pública establece que cuando una solicitud de información sea dirigida a un ente obligado distinto del competente, éste deberá informar al interesado la entidad a la que debe dirigirse.</w:t>
      </w:r>
      <w:r w:rsidR="00B01A60" w:rsidRPr="00BA159C">
        <w:rPr>
          <w:rFonts w:asciiTheme="minorHAnsi" w:hAnsiTheme="minorHAnsi" w:cstheme="minorHAnsi"/>
        </w:rPr>
        <w:t xml:space="preserve"> </w:t>
      </w:r>
    </w:p>
    <w:p w:rsidR="00B01A60" w:rsidRPr="00BA159C" w:rsidRDefault="00B01A60" w:rsidP="00B96A06">
      <w:pPr>
        <w:jc w:val="both"/>
        <w:rPr>
          <w:rFonts w:asciiTheme="minorHAnsi" w:hAnsiTheme="minorHAnsi" w:cstheme="minorHAnsi"/>
        </w:rPr>
      </w:pPr>
    </w:p>
    <w:p w:rsidR="00EB0C58" w:rsidRDefault="00B01A60" w:rsidP="00B96A06">
      <w:pPr>
        <w:jc w:val="both"/>
        <w:rPr>
          <w:rFonts w:asciiTheme="minorHAnsi" w:hAnsiTheme="minorHAnsi" w:cstheme="minorHAnsi"/>
        </w:rPr>
      </w:pPr>
      <w:r w:rsidRPr="00BA159C">
        <w:rPr>
          <w:rFonts w:asciiTheme="minorHAnsi" w:hAnsiTheme="minorHAnsi" w:cstheme="minorHAnsi"/>
          <w:b/>
        </w:rPr>
        <w:t>Por lo</w:t>
      </w:r>
      <w:r w:rsidR="00F25721" w:rsidRPr="00BA159C">
        <w:rPr>
          <w:rFonts w:asciiTheme="minorHAnsi" w:hAnsiTheme="minorHAnsi" w:cstheme="minorHAnsi"/>
          <w:b/>
        </w:rPr>
        <w:t xml:space="preserve"> que en relación al numeral 3) de su solicitud, </w:t>
      </w:r>
      <w:r w:rsidRPr="00BA159C">
        <w:rPr>
          <w:rFonts w:asciiTheme="minorHAnsi" w:hAnsiTheme="minorHAnsi" w:cstheme="minorHAnsi"/>
          <w:b/>
        </w:rPr>
        <w:t xml:space="preserve"> </w:t>
      </w:r>
      <w:r w:rsidR="00F25721" w:rsidRPr="00BA159C">
        <w:rPr>
          <w:rFonts w:asciiTheme="minorHAnsi" w:hAnsiTheme="minorHAnsi" w:cstheme="minorHAnsi"/>
          <w:b/>
        </w:rPr>
        <w:t>la entidad competente es la Superint</w:t>
      </w:r>
      <w:r w:rsidR="00EB0C58">
        <w:rPr>
          <w:rFonts w:asciiTheme="minorHAnsi" w:hAnsiTheme="minorHAnsi" w:cstheme="minorHAnsi"/>
          <w:b/>
        </w:rPr>
        <w:t>endencia del Sistema Financiero</w:t>
      </w:r>
      <w:r w:rsidR="00406A18">
        <w:rPr>
          <w:rFonts w:asciiTheme="minorHAnsi" w:hAnsiTheme="minorHAnsi" w:cstheme="minorHAnsi"/>
          <w:b/>
        </w:rPr>
        <w:t xml:space="preserve"> (SSF)</w:t>
      </w:r>
      <w:r w:rsidR="00EB0C58">
        <w:rPr>
          <w:rFonts w:asciiTheme="minorHAnsi" w:hAnsiTheme="minorHAnsi" w:cstheme="minorHAnsi"/>
        </w:rPr>
        <w:t>, según lo dispuesto en los artículos 89 de la Ley del Sistema de Ahorro para Pensiones y 35 de la Ley de Supervisión y Regulación del Sistema Financiero.</w:t>
      </w:r>
    </w:p>
    <w:p w:rsidR="00EB0C58" w:rsidRDefault="00EB0C58" w:rsidP="00B96A06">
      <w:pPr>
        <w:jc w:val="both"/>
        <w:rPr>
          <w:rFonts w:asciiTheme="minorHAnsi" w:hAnsiTheme="minorHAnsi" w:cstheme="minorHAnsi"/>
        </w:rPr>
      </w:pPr>
    </w:p>
    <w:p w:rsidR="009C166C" w:rsidRPr="00BA159C" w:rsidRDefault="00406A18" w:rsidP="00B96A06">
      <w:pPr>
        <w:jc w:val="both"/>
        <w:rPr>
          <w:rFonts w:asciiTheme="minorHAnsi" w:hAnsiTheme="minorHAnsi" w:cstheme="minorHAnsi"/>
          <w:b/>
        </w:rPr>
      </w:pPr>
      <w:r>
        <w:rPr>
          <w:rFonts w:asciiTheme="minorHAnsi" w:hAnsiTheme="minorHAnsi" w:cstheme="minorHAnsi"/>
        </w:rPr>
        <w:t xml:space="preserve">Por lo que en atención a lo dispuesto en el artículo 3 del Reglamento de la LAIP, se trasladó dicha </w:t>
      </w:r>
      <w:r w:rsidR="00F25721" w:rsidRPr="00BA159C">
        <w:rPr>
          <w:rFonts w:asciiTheme="minorHAnsi" w:hAnsiTheme="minorHAnsi" w:cstheme="minorHAnsi"/>
          <w:noProof/>
          <w:lang w:val="es-SV" w:eastAsia="es-SV"/>
        </w:rPr>
        <w:t xml:space="preserve">petición </w:t>
      </w:r>
      <w:r>
        <w:rPr>
          <w:rFonts w:asciiTheme="minorHAnsi" w:hAnsiTheme="minorHAnsi" w:cstheme="minorHAnsi"/>
          <w:noProof/>
          <w:lang w:val="es-SV" w:eastAsia="es-SV"/>
        </w:rPr>
        <w:t>a la</w:t>
      </w:r>
      <w:r w:rsidR="00F25721" w:rsidRPr="00BA159C">
        <w:rPr>
          <w:rFonts w:asciiTheme="minorHAnsi" w:hAnsiTheme="minorHAnsi" w:cstheme="minorHAnsi"/>
          <w:noProof/>
          <w:lang w:val="es-SV" w:eastAsia="es-SV"/>
        </w:rPr>
        <w:t xml:space="preserve"> </w:t>
      </w:r>
      <w:r w:rsidR="00F25721" w:rsidRPr="00BA159C">
        <w:rPr>
          <w:rFonts w:asciiTheme="minorHAnsi" w:hAnsiTheme="minorHAnsi" w:cstheme="minorHAnsi"/>
        </w:rPr>
        <w:t xml:space="preserve">Oficial de Información </w:t>
      </w:r>
      <w:r>
        <w:rPr>
          <w:rFonts w:asciiTheme="minorHAnsi" w:hAnsiTheme="minorHAnsi" w:cstheme="minorHAnsi"/>
        </w:rPr>
        <w:t>de la SSF, cuyos datos de contacto son</w:t>
      </w:r>
      <w:r w:rsidR="00F25721" w:rsidRPr="00BA159C">
        <w:rPr>
          <w:rFonts w:asciiTheme="minorHAnsi" w:hAnsiTheme="minorHAnsi" w:cstheme="minorHAnsi"/>
        </w:rPr>
        <w:t>:</w:t>
      </w:r>
    </w:p>
    <w:p w:rsidR="00B01A60" w:rsidRPr="00BA159C" w:rsidRDefault="00B42331" w:rsidP="00B96A06">
      <w:pPr>
        <w:shd w:val="clear" w:color="auto" w:fill="FFFFFF"/>
        <w:rPr>
          <w:rFonts w:asciiTheme="minorHAnsi" w:eastAsia="Times New Roman" w:hAnsiTheme="minorHAnsi" w:cstheme="minorHAnsi"/>
          <w:lang w:val="es-SV" w:eastAsia="es-SV"/>
        </w:rPr>
      </w:pPr>
      <w:hyperlink r:id="rId8" w:anchor="i37" w:history="1">
        <w:r w:rsidR="00B01A60" w:rsidRPr="00BA159C">
          <w:rPr>
            <w:rFonts w:asciiTheme="minorHAnsi" w:eastAsia="Times New Roman" w:hAnsiTheme="minorHAnsi" w:cstheme="minorHAnsi"/>
            <w:lang w:val="es-SV" w:eastAsia="es-SV"/>
          </w:rPr>
          <w:br/>
          <w:t>Superintendencia del Sistema Financiero (SSF)</w:t>
        </w:r>
      </w:hyperlink>
    </w:p>
    <w:p w:rsidR="00B01A60" w:rsidRPr="00BA159C" w:rsidRDefault="00B01A60" w:rsidP="00B96A06">
      <w:pPr>
        <w:shd w:val="clear" w:color="auto" w:fill="FFFFFF"/>
        <w:rPr>
          <w:rFonts w:asciiTheme="minorHAnsi" w:eastAsia="Times New Roman" w:hAnsiTheme="minorHAnsi" w:cstheme="minorHAnsi"/>
          <w:lang w:val="es-SV" w:eastAsia="es-SV"/>
        </w:rPr>
      </w:pPr>
      <w:r w:rsidRPr="00BA159C">
        <w:rPr>
          <w:rFonts w:asciiTheme="minorHAnsi" w:eastAsia="Times New Roman" w:hAnsiTheme="minorHAnsi" w:cstheme="minorHAnsi"/>
          <w:b/>
          <w:bCs/>
          <w:lang w:val="es-SV" w:eastAsia="es-SV"/>
        </w:rPr>
        <w:t>Carmine Olga Portillo Silva</w:t>
      </w:r>
    </w:p>
    <w:p w:rsidR="00B01A60" w:rsidRPr="00BA159C" w:rsidRDefault="00B01A60" w:rsidP="00B96A06">
      <w:pPr>
        <w:shd w:val="clear" w:color="auto" w:fill="FFFFFF"/>
        <w:spacing w:after="150"/>
        <w:rPr>
          <w:rFonts w:asciiTheme="minorHAnsi" w:eastAsia="Times New Roman" w:hAnsiTheme="minorHAnsi" w:cstheme="minorHAnsi"/>
          <w:lang w:val="es-SV" w:eastAsia="es-SV"/>
        </w:rPr>
      </w:pPr>
      <w:r w:rsidRPr="00BA159C">
        <w:rPr>
          <w:rFonts w:asciiTheme="minorHAnsi" w:eastAsia="Times New Roman" w:hAnsiTheme="minorHAnsi" w:cstheme="minorHAnsi"/>
          <w:lang w:val="es-SV" w:eastAsia="es-SV"/>
        </w:rPr>
        <w:t>7° Avenida Norte, No. 240, San Salvador </w:t>
      </w:r>
      <w:r w:rsidRPr="00BA159C">
        <w:rPr>
          <w:rFonts w:asciiTheme="minorHAnsi" w:eastAsia="Times New Roman" w:hAnsiTheme="minorHAnsi" w:cstheme="minorHAnsi"/>
          <w:lang w:val="es-SV" w:eastAsia="es-SV"/>
        </w:rPr>
        <w:br/>
        <w:t>oir@ssf.gob.sv </w:t>
      </w:r>
      <w:r w:rsidRPr="00BA159C">
        <w:rPr>
          <w:rFonts w:asciiTheme="minorHAnsi" w:eastAsia="Times New Roman" w:hAnsiTheme="minorHAnsi" w:cstheme="minorHAnsi"/>
          <w:lang w:val="es-SV" w:eastAsia="es-SV"/>
        </w:rPr>
        <w:br/>
        <w:t>2133-2900. Ext. 865</w:t>
      </w:r>
    </w:p>
    <w:p w:rsidR="008E3935" w:rsidRPr="00BA159C" w:rsidRDefault="008E3935" w:rsidP="00B96A06">
      <w:pPr>
        <w:jc w:val="both"/>
        <w:rPr>
          <w:rFonts w:asciiTheme="minorHAnsi" w:hAnsiTheme="minorHAnsi" w:cstheme="minorHAnsi"/>
        </w:rPr>
      </w:pPr>
    </w:p>
    <w:p w:rsidR="00C67390" w:rsidRPr="00BA159C" w:rsidRDefault="00F96A8D" w:rsidP="00B96A06">
      <w:pPr>
        <w:jc w:val="both"/>
        <w:rPr>
          <w:rFonts w:asciiTheme="minorHAnsi" w:eastAsia="Times New Roman" w:hAnsiTheme="minorHAnsi" w:cstheme="minorHAnsi"/>
          <w:lang w:val="es-SV"/>
        </w:rPr>
      </w:pPr>
      <w:r w:rsidRPr="00BA159C">
        <w:rPr>
          <w:rFonts w:asciiTheme="minorHAnsi" w:hAnsiTheme="minorHAnsi" w:cstheme="minorHAnsi"/>
          <w:b/>
        </w:rPr>
        <w:t xml:space="preserve">POR TANTO: </w:t>
      </w:r>
      <w:r w:rsidRPr="00BA159C">
        <w:rPr>
          <w:rFonts w:asciiTheme="minorHAnsi" w:hAnsiTheme="minorHAnsi" w:cstheme="minorHAnsi"/>
        </w:rPr>
        <w:t>En razón de lo antes expuesto y en lo estipulado en los artículos 18 y 86 de la Constitución de la República de El Salvador, en relación con los artículos 6 literal f), 24 liter</w:t>
      </w:r>
      <w:r w:rsidR="00567823" w:rsidRPr="00BA159C">
        <w:rPr>
          <w:rFonts w:asciiTheme="minorHAnsi" w:hAnsiTheme="minorHAnsi" w:cstheme="minorHAnsi"/>
        </w:rPr>
        <w:t xml:space="preserve">al d),  </w:t>
      </w:r>
      <w:r w:rsidR="00B11F2F" w:rsidRPr="00BA159C">
        <w:rPr>
          <w:rFonts w:asciiTheme="minorHAnsi" w:hAnsiTheme="minorHAnsi" w:cstheme="minorHAnsi"/>
        </w:rPr>
        <w:t xml:space="preserve">28, </w:t>
      </w:r>
      <w:r w:rsidR="00567823" w:rsidRPr="00BA159C">
        <w:rPr>
          <w:rFonts w:asciiTheme="minorHAnsi" w:hAnsiTheme="minorHAnsi" w:cstheme="minorHAnsi"/>
        </w:rPr>
        <w:t xml:space="preserve">66, </w:t>
      </w:r>
      <w:r w:rsidR="00F25721" w:rsidRPr="00BA159C">
        <w:rPr>
          <w:rFonts w:asciiTheme="minorHAnsi" w:hAnsiTheme="minorHAnsi" w:cstheme="minorHAnsi"/>
        </w:rPr>
        <w:t xml:space="preserve">68 inciso 2°, </w:t>
      </w:r>
      <w:r w:rsidR="00567823" w:rsidRPr="00BA159C">
        <w:rPr>
          <w:rFonts w:asciiTheme="minorHAnsi" w:hAnsiTheme="minorHAnsi" w:cstheme="minorHAnsi"/>
        </w:rPr>
        <w:t>70, 72 literal b)</w:t>
      </w:r>
      <w:r w:rsidR="00406A18">
        <w:rPr>
          <w:rFonts w:asciiTheme="minorHAnsi" w:hAnsiTheme="minorHAnsi" w:cstheme="minorHAnsi"/>
        </w:rPr>
        <w:t xml:space="preserve"> y c), 73</w:t>
      </w:r>
      <w:r w:rsidR="00567823" w:rsidRPr="00BA159C">
        <w:rPr>
          <w:rFonts w:asciiTheme="minorHAnsi" w:hAnsiTheme="minorHAnsi" w:cstheme="minorHAnsi"/>
        </w:rPr>
        <w:t xml:space="preserve"> </w:t>
      </w:r>
      <w:r w:rsidRPr="00BA159C">
        <w:rPr>
          <w:rFonts w:asciiTheme="minorHAnsi" w:hAnsiTheme="minorHAnsi" w:cstheme="minorHAnsi"/>
        </w:rPr>
        <w:t>de la Ley de Acceso a la Información Pública, relacionado con los artículo</w:t>
      </w:r>
      <w:r w:rsidR="00406A18">
        <w:rPr>
          <w:rFonts w:asciiTheme="minorHAnsi" w:hAnsiTheme="minorHAnsi" w:cstheme="minorHAnsi"/>
        </w:rPr>
        <w:t>s 3,</w:t>
      </w:r>
      <w:r w:rsidRPr="00BA159C">
        <w:rPr>
          <w:rFonts w:asciiTheme="minorHAnsi" w:hAnsiTheme="minorHAnsi" w:cstheme="minorHAnsi"/>
        </w:rPr>
        <w:t xml:space="preserve"> 55 literal c) y 57 de su Reglamento</w:t>
      </w:r>
      <w:r w:rsidR="00B11F2F" w:rsidRPr="00BA159C">
        <w:rPr>
          <w:rFonts w:asciiTheme="minorHAnsi" w:hAnsiTheme="minorHAnsi" w:cstheme="minorHAnsi"/>
        </w:rPr>
        <w:t>, así como artículo 63 de la Ley de Anotaciones Electrónicas en Cuentas</w:t>
      </w:r>
      <w:r w:rsidRPr="00BA159C">
        <w:rPr>
          <w:rFonts w:asciiTheme="minorHAnsi" w:hAnsiTheme="minorHAnsi" w:cstheme="minorHAnsi"/>
        </w:rPr>
        <w:t xml:space="preserve">, esta Oficina </w:t>
      </w:r>
      <w:r w:rsidR="00C67390" w:rsidRPr="00BA159C">
        <w:rPr>
          <w:rFonts w:asciiTheme="minorHAnsi" w:hAnsiTheme="minorHAnsi" w:cstheme="minorHAnsi"/>
          <w:b/>
        </w:rPr>
        <w:t xml:space="preserve">RESUELVE: I) CONCÉDESE </w:t>
      </w:r>
      <w:r w:rsidR="00C67390" w:rsidRPr="00BA159C">
        <w:rPr>
          <w:rFonts w:asciiTheme="minorHAnsi" w:hAnsiTheme="minorHAnsi" w:cstheme="minorHAnsi"/>
        </w:rPr>
        <w:t>acceso</w:t>
      </w:r>
      <w:r w:rsidR="00C67390" w:rsidRPr="00BA159C">
        <w:rPr>
          <w:rFonts w:asciiTheme="minorHAnsi" w:hAnsiTheme="minorHAnsi" w:cstheme="minorHAnsi"/>
          <w:b/>
        </w:rPr>
        <w:t xml:space="preserve"> </w:t>
      </w:r>
      <w:r w:rsidR="00C67390" w:rsidRPr="00BA159C">
        <w:rPr>
          <w:rFonts w:asciiTheme="minorHAnsi" w:hAnsiTheme="minorHAnsi" w:cstheme="minorHAnsi"/>
        </w:rPr>
        <w:t xml:space="preserve">a la </w:t>
      </w:r>
      <w:r w:rsidR="00C67390" w:rsidRPr="0042482A">
        <w:rPr>
          <w:rFonts w:asciiTheme="minorHAnsi" w:hAnsiTheme="minorHAnsi" w:cstheme="minorHAnsi"/>
        </w:rPr>
        <w:t>solicitante a</w:t>
      </w:r>
      <w:r w:rsidR="00C67390" w:rsidRPr="00BA159C">
        <w:rPr>
          <w:rFonts w:asciiTheme="minorHAnsi" w:hAnsiTheme="minorHAnsi" w:cstheme="minorHAnsi"/>
        </w:rPr>
        <w:t xml:space="preserve"> </w:t>
      </w:r>
      <w:r w:rsidR="000F698C">
        <w:rPr>
          <w:rFonts w:asciiTheme="minorHAnsi" w:hAnsiTheme="minorHAnsi" w:cstheme="minorHAnsi"/>
        </w:rPr>
        <w:t xml:space="preserve">la siguiente información: </w:t>
      </w:r>
      <w:r w:rsidR="000F698C" w:rsidRPr="000F698C">
        <w:rPr>
          <w:rFonts w:asciiTheme="minorHAnsi" w:hAnsiTheme="minorHAnsi" w:cstheme="minorHAnsi"/>
          <w:b/>
        </w:rPr>
        <w:t>a)</w:t>
      </w:r>
      <w:r w:rsidR="000F698C">
        <w:rPr>
          <w:rFonts w:asciiTheme="minorHAnsi" w:hAnsiTheme="minorHAnsi" w:cstheme="minorHAnsi"/>
        </w:rPr>
        <w:t xml:space="preserve"> </w:t>
      </w:r>
      <w:r w:rsidR="000F698C" w:rsidRPr="00BA159C">
        <w:rPr>
          <w:rFonts w:asciiTheme="minorHAnsi" w:hAnsiTheme="minorHAnsi" w:cstheme="minorHAnsi"/>
        </w:rPr>
        <w:t>un archivo digital en formato PDF que contiene  información relativa a la colocación de LETES en el mercado primario período 2006-2016</w:t>
      </w:r>
      <w:r w:rsidR="000F698C">
        <w:rPr>
          <w:rFonts w:asciiTheme="minorHAnsi" w:hAnsiTheme="minorHAnsi" w:cstheme="minorHAnsi"/>
        </w:rPr>
        <w:t xml:space="preserve"> según </w:t>
      </w:r>
      <w:r w:rsidR="00C67390" w:rsidRPr="00BA159C">
        <w:rPr>
          <w:rFonts w:asciiTheme="minorHAnsi" w:hAnsiTheme="minorHAnsi" w:cstheme="minorHAnsi"/>
        </w:rPr>
        <w:t>l</w:t>
      </w:r>
      <w:r w:rsidR="000F698C">
        <w:rPr>
          <w:rFonts w:asciiTheme="minorHAnsi" w:hAnsiTheme="minorHAnsi" w:cstheme="minorHAnsi"/>
        </w:rPr>
        <w:t xml:space="preserve">o provisto </w:t>
      </w:r>
      <w:r w:rsidR="00C67390" w:rsidRPr="00BA159C">
        <w:rPr>
          <w:rFonts w:asciiTheme="minorHAnsi" w:hAnsiTheme="minorHAnsi" w:cstheme="minorHAnsi"/>
        </w:rPr>
        <w:t xml:space="preserve">por la </w:t>
      </w:r>
      <w:r w:rsidR="000F698C">
        <w:rPr>
          <w:rFonts w:asciiTheme="minorHAnsi" w:hAnsiTheme="minorHAnsi" w:cstheme="minorHAnsi"/>
        </w:rPr>
        <w:t xml:space="preserve">Dirección General de Tesorería; </w:t>
      </w:r>
      <w:r w:rsidR="000F698C" w:rsidRPr="000F698C">
        <w:rPr>
          <w:rFonts w:asciiTheme="minorHAnsi" w:hAnsiTheme="minorHAnsi" w:cstheme="minorHAnsi"/>
          <w:b/>
        </w:rPr>
        <w:t>b)</w:t>
      </w:r>
      <w:r w:rsidR="000F698C">
        <w:rPr>
          <w:rFonts w:asciiTheme="minorHAnsi" w:hAnsiTheme="minorHAnsi" w:cstheme="minorHAnsi"/>
        </w:rPr>
        <w:t xml:space="preserve"> un archivo en formato PDF </w:t>
      </w:r>
      <w:r w:rsidR="000F698C" w:rsidRPr="00BA159C">
        <w:rPr>
          <w:rFonts w:asciiTheme="minorHAnsi" w:hAnsiTheme="minorHAnsi" w:cstheme="minorHAnsi"/>
        </w:rPr>
        <w:t>dónde se identifica cada una de las emisiones efectuadas por años con sus respectivos montos y la tasa de interés que se paga por las mismas</w:t>
      </w:r>
      <w:r w:rsidR="000F698C">
        <w:rPr>
          <w:rFonts w:asciiTheme="minorHAnsi" w:hAnsiTheme="minorHAnsi" w:cstheme="minorHAnsi"/>
        </w:rPr>
        <w:t>, según lo proporcionado por la Dirección General de Inversión y Crédito Público</w:t>
      </w:r>
      <w:r w:rsidR="00B96A06">
        <w:rPr>
          <w:rFonts w:asciiTheme="minorHAnsi" w:hAnsiTheme="minorHAnsi" w:cstheme="minorHAnsi"/>
        </w:rPr>
        <w:t>;</w:t>
      </w:r>
      <w:r w:rsidR="000F698C">
        <w:rPr>
          <w:rFonts w:asciiTheme="minorHAnsi" w:hAnsiTheme="minorHAnsi" w:cstheme="minorHAnsi"/>
        </w:rPr>
        <w:t xml:space="preserve"> </w:t>
      </w:r>
      <w:r w:rsidR="00C67390" w:rsidRPr="00BA159C">
        <w:rPr>
          <w:rFonts w:asciiTheme="minorHAnsi" w:hAnsiTheme="minorHAnsi" w:cstheme="minorHAnsi"/>
          <w:b/>
        </w:rPr>
        <w:t>II)</w:t>
      </w:r>
      <w:r w:rsidR="00C67390" w:rsidRPr="00BA159C">
        <w:rPr>
          <w:rFonts w:asciiTheme="minorHAnsi" w:hAnsiTheme="minorHAnsi" w:cstheme="minorHAnsi"/>
        </w:rPr>
        <w:t xml:space="preserve"> </w:t>
      </w:r>
      <w:r w:rsidR="00C67390" w:rsidRPr="00BA159C">
        <w:rPr>
          <w:rFonts w:asciiTheme="minorHAnsi" w:hAnsiTheme="minorHAnsi" w:cstheme="minorHAnsi"/>
          <w:b/>
        </w:rPr>
        <w:t xml:space="preserve">ACLÁRESE </w:t>
      </w:r>
      <w:r w:rsidR="00C67390" w:rsidRPr="00BA159C">
        <w:rPr>
          <w:rFonts w:asciiTheme="minorHAnsi" w:hAnsiTheme="minorHAnsi" w:cstheme="minorHAnsi"/>
        </w:rPr>
        <w:t xml:space="preserve">a la peticionante </w:t>
      </w:r>
      <w:r w:rsidR="00C67390" w:rsidRPr="00BA159C">
        <w:rPr>
          <w:rFonts w:asciiTheme="minorHAnsi" w:eastAsia="Times New Roman" w:hAnsiTheme="minorHAnsi" w:cstheme="minorHAnsi"/>
          <w:lang w:val="es-SV"/>
        </w:rPr>
        <w:t xml:space="preserve">lo siguiente: </w:t>
      </w:r>
      <w:r w:rsidR="00C67390" w:rsidRPr="00BA159C">
        <w:rPr>
          <w:rFonts w:asciiTheme="minorHAnsi" w:eastAsia="Times New Roman" w:hAnsiTheme="minorHAnsi" w:cstheme="minorHAnsi"/>
          <w:b/>
          <w:lang w:val="es-SV"/>
        </w:rPr>
        <w:t xml:space="preserve">a) </w:t>
      </w:r>
      <w:r w:rsidR="0042482A" w:rsidRPr="0042482A">
        <w:rPr>
          <w:rFonts w:asciiTheme="minorHAnsi" w:eastAsia="Times New Roman" w:hAnsiTheme="minorHAnsi" w:cstheme="minorHAnsi"/>
          <w:lang w:val="es-SV"/>
        </w:rPr>
        <w:t>Q</w:t>
      </w:r>
      <w:r w:rsidR="00C67390" w:rsidRPr="0042482A">
        <w:rPr>
          <w:rFonts w:asciiTheme="minorHAnsi" w:eastAsia="Times New Roman" w:hAnsiTheme="minorHAnsi" w:cstheme="minorHAnsi"/>
          <w:lang w:val="es-SV"/>
        </w:rPr>
        <w:t>ue</w:t>
      </w:r>
      <w:r w:rsidR="00C67390" w:rsidRPr="00BA159C">
        <w:rPr>
          <w:rFonts w:asciiTheme="minorHAnsi" w:eastAsia="Times New Roman" w:hAnsiTheme="minorHAnsi" w:cstheme="minorHAnsi"/>
          <w:lang w:val="es-SV"/>
        </w:rPr>
        <w:t xml:space="preserve"> </w:t>
      </w:r>
      <w:r w:rsidR="00C67390" w:rsidRPr="00BA159C">
        <w:rPr>
          <w:rFonts w:asciiTheme="minorHAnsi" w:hAnsiTheme="minorHAnsi" w:cstheme="minorHAnsi"/>
        </w:rPr>
        <w:t xml:space="preserve">la información relativa a los nombres de los compradores </w:t>
      </w:r>
      <w:r w:rsidR="00C67390" w:rsidRPr="00BA159C">
        <w:rPr>
          <w:rFonts w:asciiTheme="minorHAnsi" w:eastAsia="Times New Roman" w:hAnsiTheme="minorHAnsi" w:cstheme="minorHAnsi"/>
          <w:lang w:val="es-SV"/>
        </w:rPr>
        <w:t>de cada emisión de Letras del Tesoro del año 2006 al 2016 es de</w:t>
      </w:r>
      <w:r w:rsidR="00C67390" w:rsidRPr="00BA159C">
        <w:rPr>
          <w:rFonts w:asciiTheme="minorHAnsi" w:hAnsiTheme="minorHAnsi" w:cstheme="minorHAnsi"/>
        </w:rPr>
        <w:t xml:space="preserve"> carácter </w:t>
      </w:r>
      <w:r w:rsidR="00C67390" w:rsidRPr="00BA159C">
        <w:rPr>
          <w:rFonts w:asciiTheme="minorHAnsi" w:hAnsiTheme="minorHAnsi" w:cstheme="minorHAnsi"/>
          <w:b/>
        </w:rPr>
        <w:t>confidencial</w:t>
      </w:r>
      <w:r w:rsidR="00C67390" w:rsidRPr="00BA159C">
        <w:rPr>
          <w:rFonts w:asciiTheme="minorHAnsi" w:hAnsiTheme="minorHAnsi" w:cstheme="minorHAnsi"/>
        </w:rPr>
        <w:t xml:space="preserve">, por lo tanto, no puede ser entregada, con fundamento en los artículos 24 literal d) y de la Ley de Acceso a la Información Pública y articulo 63 de la Ley de Anotaciones Electrónicas en </w:t>
      </w:r>
      <w:r w:rsidR="00C67390" w:rsidRPr="00B343E7">
        <w:rPr>
          <w:rFonts w:asciiTheme="minorHAnsi" w:hAnsiTheme="minorHAnsi" w:cstheme="minorHAnsi"/>
        </w:rPr>
        <w:lastRenderedPageBreak/>
        <w:t>Cuentas;;</w:t>
      </w:r>
      <w:r w:rsidR="000F698C" w:rsidRPr="00B343E7">
        <w:rPr>
          <w:rFonts w:asciiTheme="minorHAnsi" w:hAnsiTheme="minorHAnsi" w:cstheme="minorHAnsi"/>
        </w:rPr>
        <w:t xml:space="preserve"> </w:t>
      </w:r>
      <w:r w:rsidR="0042482A" w:rsidRPr="00B343E7">
        <w:rPr>
          <w:rFonts w:asciiTheme="minorHAnsi" w:eastAsia="Times New Roman" w:hAnsiTheme="minorHAnsi" w:cstheme="minorHAnsi"/>
          <w:b/>
          <w:lang w:val="es-ES_tradnl"/>
        </w:rPr>
        <w:t>b)</w:t>
      </w:r>
      <w:r w:rsidR="0042482A" w:rsidRPr="00B343E7">
        <w:rPr>
          <w:rFonts w:asciiTheme="minorHAnsi" w:eastAsia="Times New Roman" w:hAnsiTheme="minorHAnsi" w:cstheme="minorHAnsi"/>
          <w:lang w:val="es-ES_tradnl"/>
        </w:rPr>
        <w:t xml:space="preserve"> que</w:t>
      </w:r>
      <w:r w:rsidR="0042482A" w:rsidRPr="00B343E7">
        <w:rPr>
          <w:rFonts w:asciiTheme="minorHAnsi" w:hAnsiTheme="minorHAnsi" w:cstheme="minorHAnsi"/>
        </w:rPr>
        <w:t xml:space="preserve"> de</w:t>
      </w:r>
      <w:r w:rsidR="0042482A" w:rsidRPr="00B343E7">
        <w:rPr>
          <w:rFonts w:asciiTheme="minorHAnsi" w:hAnsiTheme="minorHAnsi" w:cstheme="minorHAnsi"/>
          <w:b/>
        </w:rPr>
        <w:t xml:space="preserve"> </w:t>
      </w:r>
      <w:r w:rsidR="0042482A" w:rsidRPr="00B343E7">
        <w:rPr>
          <w:rFonts w:asciiTheme="minorHAnsi" w:hAnsiTheme="minorHAnsi" w:cstheme="minorHAnsi"/>
        </w:rPr>
        <w:t>conformidad a</w:t>
      </w:r>
      <w:r w:rsidR="00B96A06" w:rsidRPr="00B343E7">
        <w:rPr>
          <w:rFonts w:asciiTheme="minorHAnsi" w:hAnsiTheme="minorHAnsi" w:cstheme="minorHAnsi"/>
        </w:rPr>
        <w:t xml:space="preserve"> </w:t>
      </w:r>
      <w:r w:rsidR="0042482A" w:rsidRPr="00B343E7">
        <w:rPr>
          <w:rFonts w:asciiTheme="minorHAnsi" w:hAnsiTheme="minorHAnsi" w:cstheme="minorHAnsi"/>
        </w:rPr>
        <w:t>l</w:t>
      </w:r>
      <w:r w:rsidR="00B96A06" w:rsidRPr="00B343E7">
        <w:rPr>
          <w:rFonts w:asciiTheme="minorHAnsi" w:hAnsiTheme="minorHAnsi" w:cstheme="minorHAnsi"/>
        </w:rPr>
        <w:t>os</w:t>
      </w:r>
      <w:r w:rsidR="0042482A" w:rsidRPr="00B343E7">
        <w:rPr>
          <w:rFonts w:asciiTheme="minorHAnsi" w:hAnsiTheme="minorHAnsi" w:cstheme="minorHAnsi"/>
        </w:rPr>
        <w:t xml:space="preserve"> artículo</w:t>
      </w:r>
      <w:r w:rsidR="00B96A06" w:rsidRPr="00B343E7">
        <w:rPr>
          <w:rFonts w:asciiTheme="minorHAnsi" w:hAnsiTheme="minorHAnsi" w:cstheme="minorHAnsi"/>
        </w:rPr>
        <w:t>s</w:t>
      </w:r>
      <w:r w:rsidR="0042482A" w:rsidRPr="00B343E7">
        <w:rPr>
          <w:rFonts w:asciiTheme="minorHAnsi" w:hAnsiTheme="minorHAnsi" w:cstheme="minorHAnsi"/>
        </w:rPr>
        <w:t xml:space="preserve">  68 inciso 2° de la LAIP, 89 de la Ley del Sistema de Ahorro para Pensiones y 35 de la Ley de Supervisión y Regulación del Sistema Financiero, </w:t>
      </w:r>
      <w:r w:rsidR="000F698C" w:rsidRPr="00B343E7">
        <w:rPr>
          <w:rFonts w:asciiTheme="minorHAnsi" w:hAnsiTheme="minorHAnsi" w:cstheme="minorHAnsi"/>
        </w:rPr>
        <w:t xml:space="preserve">el Ministerio de Hacienda no es el ente competente para </w:t>
      </w:r>
      <w:r w:rsidR="0042482A" w:rsidRPr="00B343E7">
        <w:rPr>
          <w:rFonts w:asciiTheme="minorHAnsi" w:hAnsiTheme="minorHAnsi" w:cstheme="minorHAnsi"/>
          <w:noProof/>
          <w:lang w:val="es-SV" w:eastAsia="es-SV"/>
        </w:rPr>
        <w:t xml:space="preserve">brindar información sobre el </w:t>
      </w:r>
      <w:r w:rsidR="000F698C" w:rsidRPr="00B343E7">
        <w:rPr>
          <w:rFonts w:asciiTheme="minorHAnsi" w:hAnsiTheme="minorHAnsi" w:cstheme="minorHAnsi"/>
          <w:noProof/>
          <w:lang w:val="es-SV" w:eastAsia="es-SV"/>
        </w:rPr>
        <w:t>porcentaje</w:t>
      </w:r>
      <w:r w:rsidR="0042482A" w:rsidRPr="00B343E7">
        <w:rPr>
          <w:rFonts w:asciiTheme="minorHAnsi" w:eastAsia="Times New Roman" w:hAnsiTheme="minorHAnsi" w:cstheme="minorHAnsi"/>
          <w:lang w:val="es-SV"/>
        </w:rPr>
        <w:t xml:space="preserve"> que representa la inversión en instrumentos financieros públicos (</w:t>
      </w:r>
      <w:r w:rsidR="000F698C" w:rsidRPr="00B343E7">
        <w:rPr>
          <w:rFonts w:asciiTheme="minorHAnsi" w:eastAsia="Times New Roman" w:hAnsiTheme="minorHAnsi" w:cstheme="minorHAnsi"/>
          <w:lang w:val="es-SV"/>
        </w:rPr>
        <w:t>LETES</w:t>
      </w:r>
      <w:r w:rsidR="0042482A" w:rsidRPr="00B343E7">
        <w:rPr>
          <w:rFonts w:asciiTheme="minorHAnsi" w:eastAsia="Times New Roman" w:hAnsiTheme="minorHAnsi" w:cstheme="minorHAnsi"/>
          <w:lang w:val="es-SV"/>
        </w:rPr>
        <w:t xml:space="preserve"> y Bonos) en relación al total de inversiones financieras de las diferentes instituciones privadas del sistema finan</w:t>
      </w:r>
      <w:r w:rsidR="00B96A06" w:rsidRPr="00B343E7">
        <w:rPr>
          <w:rFonts w:asciiTheme="minorHAnsi" w:eastAsia="Times New Roman" w:hAnsiTheme="minorHAnsi" w:cstheme="minorHAnsi"/>
          <w:lang w:val="es-SV"/>
        </w:rPr>
        <w:t xml:space="preserve">ciero, </w:t>
      </w:r>
      <w:r w:rsidR="0042482A" w:rsidRPr="00B343E7">
        <w:rPr>
          <w:rFonts w:asciiTheme="minorHAnsi" w:eastAsia="Times New Roman" w:hAnsiTheme="minorHAnsi" w:cstheme="minorHAnsi"/>
          <w:lang w:val="es-SV"/>
        </w:rPr>
        <w:t xml:space="preserve">en el período 2006-2016, </w:t>
      </w:r>
      <w:r w:rsidR="000F698C" w:rsidRPr="00B343E7">
        <w:rPr>
          <w:rFonts w:asciiTheme="minorHAnsi" w:eastAsia="Times New Roman" w:hAnsiTheme="minorHAnsi" w:cstheme="minorHAnsi"/>
          <w:lang w:val="es-SV"/>
        </w:rPr>
        <w:t>ya que dicha información corresponde a la</w:t>
      </w:r>
      <w:r w:rsidR="0042482A" w:rsidRPr="00B343E7">
        <w:rPr>
          <w:rFonts w:asciiTheme="minorHAnsi" w:hAnsiTheme="minorHAnsi" w:cstheme="minorHAnsi"/>
        </w:rPr>
        <w:t xml:space="preserve"> Superintendencia del Sistema F</w:t>
      </w:r>
      <w:r w:rsidR="00B96A06" w:rsidRPr="00B343E7">
        <w:rPr>
          <w:rFonts w:asciiTheme="minorHAnsi" w:hAnsiTheme="minorHAnsi" w:cstheme="minorHAnsi"/>
        </w:rPr>
        <w:t xml:space="preserve">inanciero; </w:t>
      </w:r>
      <w:r w:rsidR="000F698C" w:rsidRPr="00B343E7">
        <w:rPr>
          <w:rFonts w:asciiTheme="minorHAnsi" w:hAnsiTheme="minorHAnsi" w:cstheme="minorHAnsi"/>
          <w:b/>
        </w:rPr>
        <w:t>c</w:t>
      </w:r>
      <w:r w:rsidR="00C67390" w:rsidRPr="00B343E7">
        <w:rPr>
          <w:rFonts w:asciiTheme="minorHAnsi" w:hAnsiTheme="minorHAnsi" w:cstheme="minorHAnsi"/>
          <w:b/>
        </w:rPr>
        <w:t>)</w:t>
      </w:r>
      <w:r w:rsidR="00C67390" w:rsidRPr="00B343E7">
        <w:rPr>
          <w:rFonts w:asciiTheme="minorHAnsi" w:hAnsiTheme="minorHAnsi" w:cstheme="minorHAnsi"/>
        </w:rPr>
        <w:t xml:space="preserve"> Que le asiste el derecho de interponer el recurso de apelación que indica el artículo 82 de la </w:t>
      </w:r>
      <w:r w:rsidR="00365AFE" w:rsidRPr="00B343E7">
        <w:rPr>
          <w:rFonts w:asciiTheme="minorHAnsi" w:hAnsiTheme="minorHAnsi" w:cstheme="minorHAnsi"/>
        </w:rPr>
        <w:t>LAIP</w:t>
      </w:r>
      <w:r w:rsidR="00C67390" w:rsidRPr="00BA159C">
        <w:rPr>
          <w:rFonts w:asciiTheme="minorHAnsi" w:hAnsiTheme="minorHAnsi" w:cstheme="minorHAnsi"/>
        </w:rPr>
        <w:t>;</w:t>
      </w:r>
      <w:r w:rsidR="00D93993" w:rsidRPr="00BA159C">
        <w:rPr>
          <w:rFonts w:asciiTheme="minorHAnsi" w:hAnsiTheme="minorHAnsi" w:cstheme="minorHAnsi"/>
        </w:rPr>
        <w:t xml:space="preserve"> </w:t>
      </w:r>
      <w:r w:rsidR="00C67390" w:rsidRPr="00BA159C">
        <w:rPr>
          <w:rFonts w:asciiTheme="minorHAnsi" w:hAnsiTheme="minorHAnsi" w:cstheme="minorHAnsi"/>
        </w:rPr>
        <w:t xml:space="preserve">y </w:t>
      </w:r>
      <w:r w:rsidR="00C67390" w:rsidRPr="00B96A06">
        <w:rPr>
          <w:rFonts w:asciiTheme="minorHAnsi" w:hAnsiTheme="minorHAnsi" w:cstheme="minorHAnsi"/>
          <w:b/>
        </w:rPr>
        <w:t>III</w:t>
      </w:r>
      <w:r w:rsidR="00C67390" w:rsidRPr="00BA159C">
        <w:rPr>
          <w:rFonts w:asciiTheme="minorHAnsi" w:hAnsiTheme="minorHAnsi" w:cstheme="minorHAnsi"/>
          <w:b/>
        </w:rPr>
        <w:t>)</w:t>
      </w:r>
      <w:r w:rsidR="00C67390" w:rsidRPr="00BA159C">
        <w:rPr>
          <w:rFonts w:asciiTheme="minorHAnsi" w:hAnsiTheme="minorHAnsi" w:cstheme="minorHAnsi"/>
        </w:rPr>
        <w:t xml:space="preserve"> </w:t>
      </w:r>
      <w:r w:rsidR="00B96A06">
        <w:rPr>
          <w:rFonts w:asciiTheme="minorHAnsi" w:hAnsiTheme="minorHAnsi" w:cstheme="minorHAnsi"/>
          <w:b/>
        </w:rPr>
        <w:t>NOTIFÍQUESE.</w:t>
      </w:r>
    </w:p>
    <w:p w:rsidR="008E3935" w:rsidRPr="00BA159C" w:rsidRDefault="008E3935" w:rsidP="00B96A06">
      <w:pPr>
        <w:jc w:val="both"/>
        <w:rPr>
          <w:rFonts w:asciiTheme="minorHAnsi" w:eastAsia="Times New Roman" w:hAnsiTheme="minorHAnsi" w:cstheme="minorHAnsi"/>
        </w:rPr>
      </w:pPr>
    </w:p>
    <w:p w:rsidR="008E3935" w:rsidRPr="00BA159C" w:rsidRDefault="008E3935" w:rsidP="00B96A06">
      <w:pPr>
        <w:jc w:val="both"/>
        <w:rPr>
          <w:rFonts w:asciiTheme="minorHAnsi" w:eastAsia="Times New Roman" w:hAnsiTheme="minorHAnsi" w:cstheme="minorHAnsi"/>
          <w:lang w:val="es-SV"/>
        </w:rPr>
      </w:pPr>
    </w:p>
    <w:p w:rsidR="008E3935" w:rsidRPr="00BA159C" w:rsidRDefault="008E3935" w:rsidP="00B96A06">
      <w:pPr>
        <w:jc w:val="both"/>
        <w:rPr>
          <w:rFonts w:asciiTheme="minorHAnsi" w:eastAsia="Times New Roman" w:hAnsiTheme="minorHAnsi" w:cstheme="minorHAnsi"/>
          <w:lang w:val="es-SV"/>
        </w:rPr>
      </w:pPr>
    </w:p>
    <w:p w:rsidR="008E3935" w:rsidRPr="00BA159C" w:rsidRDefault="008E3935" w:rsidP="00B96A06">
      <w:pPr>
        <w:jc w:val="both"/>
        <w:rPr>
          <w:rFonts w:asciiTheme="minorHAnsi" w:eastAsia="Times New Roman" w:hAnsiTheme="minorHAnsi" w:cstheme="minorHAnsi"/>
          <w:lang w:val="es-SV"/>
        </w:rPr>
      </w:pPr>
    </w:p>
    <w:p w:rsidR="008E3935" w:rsidRPr="00BA159C" w:rsidRDefault="00F96A8D" w:rsidP="00B96A06">
      <w:pPr>
        <w:jc w:val="center"/>
        <w:rPr>
          <w:rFonts w:asciiTheme="minorHAnsi" w:eastAsia="Times New Roman" w:hAnsiTheme="minorHAnsi" w:cstheme="minorHAnsi"/>
          <w:b/>
          <w:bCs/>
          <w:lang w:val="es-SV"/>
        </w:rPr>
      </w:pPr>
      <w:r w:rsidRPr="00BA159C">
        <w:rPr>
          <w:rFonts w:asciiTheme="minorHAnsi" w:eastAsia="Times New Roman" w:hAnsiTheme="minorHAnsi" w:cstheme="minorHAnsi"/>
          <w:b/>
          <w:bCs/>
          <w:lang w:val="es-SV"/>
        </w:rPr>
        <w:t>LIC. DANIEL ELISEO MARTÍNEZ TAURA</w:t>
      </w:r>
    </w:p>
    <w:p w:rsidR="008E3935" w:rsidRPr="00BA159C" w:rsidRDefault="00F96A8D" w:rsidP="00B96A06">
      <w:pPr>
        <w:jc w:val="center"/>
        <w:rPr>
          <w:rFonts w:asciiTheme="minorHAnsi" w:eastAsia="Times New Roman" w:hAnsiTheme="minorHAnsi" w:cstheme="minorHAnsi"/>
          <w:b/>
          <w:bCs/>
          <w:lang w:val="es-SV"/>
        </w:rPr>
      </w:pPr>
      <w:r w:rsidRPr="00BA159C">
        <w:rPr>
          <w:rFonts w:asciiTheme="minorHAnsi" w:eastAsia="Times New Roman" w:hAnsiTheme="minorHAnsi" w:cstheme="minorHAnsi"/>
          <w:b/>
          <w:bCs/>
          <w:lang w:val="es-SV"/>
        </w:rPr>
        <w:t>OFICIAL DE INFORMACIÓN</w:t>
      </w:r>
    </w:p>
    <w:p w:rsidR="008E3935" w:rsidRPr="00BA159C" w:rsidRDefault="00F96A8D" w:rsidP="00B96A06">
      <w:pPr>
        <w:jc w:val="center"/>
        <w:rPr>
          <w:rFonts w:asciiTheme="minorHAnsi" w:eastAsia="Times New Roman" w:hAnsiTheme="minorHAnsi" w:cstheme="minorHAnsi"/>
          <w:b/>
          <w:bCs/>
          <w:lang w:val="en-US"/>
        </w:rPr>
      </w:pPr>
      <w:r w:rsidRPr="00BA159C">
        <w:rPr>
          <w:rFonts w:asciiTheme="minorHAnsi" w:eastAsia="Times New Roman" w:hAnsiTheme="minorHAnsi" w:cstheme="minorHAnsi"/>
          <w:b/>
          <w:bCs/>
          <w:lang w:val="en-US"/>
        </w:rPr>
        <w:t>MINISTERIO DE HACIENDA.</w:t>
      </w:r>
    </w:p>
    <w:p w:rsidR="008E3935" w:rsidRDefault="008E3935" w:rsidP="00B96A06"/>
    <w:p w:rsidR="008E3935" w:rsidRDefault="008E3935" w:rsidP="00B96A06"/>
    <w:p w:rsidR="008E3935" w:rsidRDefault="008E3935" w:rsidP="00B96A06"/>
    <w:sectPr w:rsidR="008E3935" w:rsidSect="008E3935">
      <w:footerReference w:type="default" r:id="rId9"/>
      <w:pgSz w:w="12240" w:h="15840"/>
      <w:pgMar w:top="1417" w:right="1701" w:bottom="1417" w:left="1701"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331" w:rsidRDefault="00B42331" w:rsidP="00F25721">
      <w:r>
        <w:separator/>
      </w:r>
    </w:p>
  </w:endnote>
  <w:endnote w:type="continuationSeparator" w:id="0">
    <w:p w:rsidR="00B42331" w:rsidRDefault="00B42331" w:rsidP="00F2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54846"/>
      <w:docPartObj>
        <w:docPartGallery w:val="Page Numbers (Bottom of Page)"/>
        <w:docPartUnique/>
      </w:docPartObj>
    </w:sdtPr>
    <w:sdtEndPr/>
    <w:sdtContent>
      <w:p w:rsidR="00F25721" w:rsidRDefault="00B343E7">
        <w:pPr>
          <w:pStyle w:val="Piedepgina"/>
          <w:jc w:val="center"/>
        </w:pPr>
        <w:r>
          <w:fldChar w:fldCharType="begin"/>
        </w:r>
        <w:r>
          <w:instrText xml:space="preserve"> PAGE   \* MERGEFORMAT </w:instrText>
        </w:r>
        <w:r>
          <w:fldChar w:fldCharType="separate"/>
        </w:r>
        <w:r w:rsidR="00074B17">
          <w:rPr>
            <w:noProof/>
          </w:rPr>
          <w:t>1</w:t>
        </w:r>
        <w:r>
          <w:rPr>
            <w:noProof/>
          </w:rPr>
          <w:fldChar w:fldCharType="end"/>
        </w:r>
      </w:p>
    </w:sdtContent>
  </w:sdt>
  <w:p w:rsidR="00F25721" w:rsidRDefault="00F257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331" w:rsidRDefault="00B42331" w:rsidP="00F25721">
      <w:r>
        <w:separator/>
      </w:r>
    </w:p>
  </w:footnote>
  <w:footnote w:type="continuationSeparator" w:id="0">
    <w:p w:rsidR="00B42331" w:rsidRDefault="00B42331" w:rsidP="00F25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3935"/>
    <w:rsid w:val="00045B3E"/>
    <w:rsid w:val="00074B17"/>
    <w:rsid w:val="000B4650"/>
    <w:rsid w:val="000F698C"/>
    <w:rsid w:val="00217EDA"/>
    <w:rsid w:val="00275367"/>
    <w:rsid w:val="00277606"/>
    <w:rsid w:val="002B5281"/>
    <w:rsid w:val="002D30A4"/>
    <w:rsid w:val="00365AFE"/>
    <w:rsid w:val="003C0C81"/>
    <w:rsid w:val="003F4DA2"/>
    <w:rsid w:val="00406A18"/>
    <w:rsid w:val="0042482A"/>
    <w:rsid w:val="004511AE"/>
    <w:rsid w:val="00520D14"/>
    <w:rsid w:val="00567823"/>
    <w:rsid w:val="00577ADE"/>
    <w:rsid w:val="00676627"/>
    <w:rsid w:val="006C5F07"/>
    <w:rsid w:val="006F3B77"/>
    <w:rsid w:val="00704019"/>
    <w:rsid w:val="00741252"/>
    <w:rsid w:val="007C213A"/>
    <w:rsid w:val="007F4D8F"/>
    <w:rsid w:val="008A5A54"/>
    <w:rsid w:val="008E3935"/>
    <w:rsid w:val="008E63DB"/>
    <w:rsid w:val="00907613"/>
    <w:rsid w:val="00931399"/>
    <w:rsid w:val="00942623"/>
    <w:rsid w:val="00997F65"/>
    <w:rsid w:val="009C166C"/>
    <w:rsid w:val="00A17C1D"/>
    <w:rsid w:val="00A61F82"/>
    <w:rsid w:val="00B01A60"/>
    <w:rsid w:val="00B02147"/>
    <w:rsid w:val="00B11F2F"/>
    <w:rsid w:val="00B12FE7"/>
    <w:rsid w:val="00B17A66"/>
    <w:rsid w:val="00B343E7"/>
    <w:rsid w:val="00B42331"/>
    <w:rsid w:val="00B637FB"/>
    <w:rsid w:val="00B96A06"/>
    <w:rsid w:val="00BA159C"/>
    <w:rsid w:val="00BD645B"/>
    <w:rsid w:val="00C33574"/>
    <w:rsid w:val="00C67390"/>
    <w:rsid w:val="00D5199E"/>
    <w:rsid w:val="00D61D1A"/>
    <w:rsid w:val="00D93993"/>
    <w:rsid w:val="00DF75B3"/>
    <w:rsid w:val="00E04E8E"/>
    <w:rsid w:val="00E163CB"/>
    <w:rsid w:val="00E76BEF"/>
    <w:rsid w:val="00EB0C58"/>
    <w:rsid w:val="00F2159A"/>
    <w:rsid w:val="00F25721"/>
    <w:rsid w:val="00F260E4"/>
    <w:rsid w:val="00F35AB5"/>
    <w:rsid w:val="00F96A8D"/>
    <w:rsid w:val="00FB161F"/>
    <w:rsid w:val="00FC3D7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675338C6"/>
  <w15:docId w15:val="{2DD1D5C0-7F29-4B7E-9D15-8126D313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S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B82"/>
    <w:rPr>
      <w:rFonts w:ascii="Times New Roman" w:eastAsia="SimSu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Car">
    <w:name w:val="Título Car"/>
    <w:basedOn w:val="Fuentedeprrafopredeter"/>
    <w:link w:val="Ttulo"/>
    <w:uiPriority w:val="99"/>
    <w:qFormat/>
    <w:rsid w:val="00B12B82"/>
    <w:rPr>
      <w:rFonts w:ascii="Times New Roman" w:eastAsia="SimSun" w:hAnsi="Times New Roman" w:cs="Times New Roman"/>
      <w:b/>
      <w:bCs/>
      <w:sz w:val="24"/>
      <w:szCs w:val="20"/>
      <w:u w:val="single"/>
      <w:lang w:val="es-ES" w:eastAsia="es-ES"/>
    </w:rPr>
  </w:style>
  <w:style w:type="character" w:customStyle="1" w:styleId="TextodegloboCar">
    <w:name w:val="Texto de globo Car"/>
    <w:basedOn w:val="Fuentedeprrafopredeter"/>
    <w:link w:val="Textodeglobo"/>
    <w:uiPriority w:val="99"/>
    <w:semiHidden/>
    <w:qFormat/>
    <w:rsid w:val="00B12B82"/>
    <w:rPr>
      <w:rFonts w:ascii="Tahoma" w:eastAsia="SimSun" w:hAnsi="Tahoma" w:cs="Tahoma"/>
      <w:sz w:val="16"/>
      <w:szCs w:val="16"/>
      <w:lang w:val="es-ES" w:eastAsia="es-ES"/>
    </w:rPr>
  </w:style>
  <w:style w:type="paragraph" w:styleId="Encabezado">
    <w:name w:val="header"/>
    <w:basedOn w:val="Normal"/>
    <w:next w:val="Textoindependiente"/>
    <w:qFormat/>
    <w:rsid w:val="008E3935"/>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8E3935"/>
    <w:pPr>
      <w:spacing w:after="140" w:line="288" w:lineRule="auto"/>
    </w:pPr>
  </w:style>
  <w:style w:type="paragraph" w:styleId="Lista">
    <w:name w:val="List"/>
    <w:basedOn w:val="Textoindependiente"/>
    <w:rsid w:val="008E3935"/>
    <w:rPr>
      <w:rFonts w:cs="Lucida Sans"/>
    </w:rPr>
  </w:style>
  <w:style w:type="paragraph" w:customStyle="1" w:styleId="Descripcin1">
    <w:name w:val="Descripción1"/>
    <w:basedOn w:val="Normal"/>
    <w:qFormat/>
    <w:rsid w:val="008E3935"/>
    <w:pPr>
      <w:suppressLineNumbers/>
      <w:spacing w:before="120" w:after="120"/>
    </w:pPr>
    <w:rPr>
      <w:rFonts w:cs="Lucida Sans"/>
      <w:i/>
      <w:iCs/>
    </w:rPr>
  </w:style>
  <w:style w:type="paragraph" w:customStyle="1" w:styleId="ndice">
    <w:name w:val="Índice"/>
    <w:basedOn w:val="Normal"/>
    <w:qFormat/>
    <w:rsid w:val="008E3935"/>
    <w:pPr>
      <w:suppressLineNumbers/>
    </w:pPr>
    <w:rPr>
      <w:rFonts w:cs="Lucida Sans"/>
    </w:rPr>
  </w:style>
  <w:style w:type="paragraph" w:styleId="Ttulo">
    <w:name w:val="Title"/>
    <w:basedOn w:val="Normal"/>
    <w:link w:val="TtuloCar"/>
    <w:uiPriority w:val="99"/>
    <w:qFormat/>
    <w:rsid w:val="00B12B82"/>
    <w:pPr>
      <w:jc w:val="center"/>
    </w:pPr>
    <w:rPr>
      <w:b/>
      <w:bCs/>
      <w:szCs w:val="20"/>
      <w:u w:val="single"/>
    </w:rPr>
  </w:style>
  <w:style w:type="paragraph" w:styleId="Textodeglobo">
    <w:name w:val="Balloon Text"/>
    <w:basedOn w:val="Normal"/>
    <w:link w:val="TextodegloboCar"/>
    <w:uiPriority w:val="99"/>
    <w:semiHidden/>
    <w:unhideWhenUsed/>
    <w:qFormat/>
    <w:rsid w:val="00B12B82"/>
    <w:rPr>
      <w:rFonts w:ascii="Tahoma" w:hAnsi="Tahoma" w:cs="Tahoma"/>
      <w:sz w:val="16"/>
      <w:szCs w:val="16"/>
    </w:rPr>
  </w:style>
  <w:style w:type="character" w:customStyle="1" w:styleId="apple-converted-space">
    <w:name w:val="apple-converted-space"/>
    <w:basedOn w:val="Fuentedeprrafopredeter"/>
    <w:rsid w:val="00931399"/>
  </w:style>
  <w:style w:type="character" w:styleId="Hipervnculo">
    <w:name w:val="Hyperlink"/>
    <w:basedOn w:val="Fuentedeprrafopredeter"/>
    <w:uiPriority w:val="99"/>
    <w:semiHidden/>
    <w:unhideWhenUsed/>
    <w:rsid w:val="00B01A60"/>
    <w:rPr>
      <w:color w:val="0000FF"/>
      <w:u w:val="single"/>
    </w:rPr>
  </w:style>
  <w:style w:type="paragraph" w:styleId="NormalWeb">
    <w:name w:val="Normal (Web)"/>
    <w:basedOn w:val="Normal"/>
    <w:uiPriority w:val="99"/>
    <w:semiHidden/>
    <w:unhideWhenUsed/>
    <w:rsid w:val="00B01A60"/>
    <w:pPr>
      <w:spacing w:before="100" w:beforeAutospacing="1" w:after="100" w:afterAutospacing="1"/>
    </w:pPr>
    <w:rPr>
      <w:rFonts w:eastAsia="Times New Roman"/>
      <w:lang w:val="es-SV" w:eastAsia="es-SV"/>
    </w:rPr>
  </w:style>
  <w:style w:type="paragraph" w:styleId="Piedepgina">
    <w:name w:val="footer"/>
    <w:basedOn w:val="Normal"/>
    <w:link w:val="PiedepginaCar"/>
    <w:uiPriority w:val="99"/>
    <w:unhideWhenUsed/>
    <w:rsid w:val="00F25721"/>
    <w:pPr>
      <w:tabs>
        <w:tab w:val="center" w:pos="4419"/>
        <w:tab w:val="right" w:pos="8838"/>
      </w:tabs>
    </w:pPr>
  </w:style>
  <w:style w:type="character" w:customStyle="1" w:styleId="PiedepginaCar">
    <w:name w:val="Pie de página Car"/>
    <w:basedOn w:val="Fuentedeprrafopredeter"/>
    <w:link w:val="Piedepgina"/>
    <w:uiPriority w:val="99"/>
    <w:rsid w:val="00F25721"/>
    <w:rPr>
      <w:rFonts w:ascii="Times New Roman" w:eastAsia="SimSu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898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biernoabierto.gob.sv/institutions"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1420</Words>
  <Characters>7812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Ministerio de Hacienda</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dorian.flores</dc:creator>
  <cp:lastModifiedBy>Daniel Eliseo Martinez Taura</cp:lastModifiedBy>
  <cp:revision>16</cp:revision>
  <cp:lastPrinted>2017-08-28T21:46:00Z</cp:lastPrinted>
  <dcterms:created xsi:type="dcterms:W3CDTF">2017-08-28T15:34:00Z</dcterms:created>
  <dcterms:modified xsi:type="dcterms:W3CDTF">2019-10-07T15:18:00Z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Ministerio de Hacienda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