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78E75" w14:textId="77777777" w:rsidR="00B44772" w:rsidRPr="0001362C" w:rsidRDefault="00823BC1" w:rsidP="00823BC1">
      <w:pPr>
        <w:tabs>
          <w:tab w:val="left" w:pos="5040"/>
        </w:tabs>
        <w:spacing w:line="276" w:lineRule="auto"/>
        <w:jc w:val="center"/>
        <w:rPr>
          <w:rFonts w:ascii="Museo Sans 300" w:hAnsi="Museo Sans 300" w:cstheme="minorHAnsi"/>
          <w:b/>
          <w:bCs/>
          <w:sz w:val="22"/>
          <w:szCs w:val="22"/>
        </w:rPr>
      </w:pPr>
      <w:bookmarkStart w:id="0" w:name="_Hlk200098849"/>
      <w:bookmarkStart w:id="1" w:name="_Toc56581203"/>
      <w:bookmarkStart w:id="2" w:name="_Toc169162404"/>
      <w:bookmarkEnd w:id="0"/>
      <w:r w:rsidRPr="0001362C">
        <w:rPr>
          <w:rFonts w:ascii="Museo Sans 300" w:hAnsi="Museo Sans 300" w:cs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0D038E6" wp14:editId="1562BF22">
            <wp:simplePos x="0" y="0"/>
            <wp:positionH relativeFrom="page">
              <wp:posOffset>7034</wp:posOffset>
            </wp:positionH>
            <wp:positionV relativeFrom="paragraph">
              <wp:posOffset>-895986</wp:posOffset>
            </wp:positionV>
            <wp:extent cx="7751445" cy="10086535"/>
            <wp:effectExtent l="0" t="0" r="190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80" cy="100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1048F" w14:textId="77777777" w:rsidR="00665494" w:rsidRPr="0001362C" w:rsidRDefault="00665494" w:rsidP="00E61B3F">
      <w:pPr>
        <w:spacing w:line="276" w:lineRule="auto"/>
        <w:jc w:val="center"/>
        <w:rPr>
          <w:rFonts w:ascii="Museo Sans 300" w:hAnsi="Museo Sans 300" w:cstheme="minorHAnsi"/>
          <w:noProof/>
          <w:sz w:val="22"/>
          <w:szCs w:val="22"/>
        </w:rPr>
      </w:pPr>
    </w:p>
    <w:p w14:paraId="1A28A490" w14:textId="77777777" w:rsidR="00B44772" w:rsidRPr="0001362C" w:rsidRDefault="00B44772" w:rsidP="00E61B3F">
      <w:pPr>
        <w:spacing w:line="276" w:lineRule="auto"/>
        <w:jc w:val="center"/>
        <w:rPr>
          <w:rFonts w:ascii="Museo Sans 300" w:hAnsi="Museo Sans 300" w:cstheme="minorHAnsi"/>
          <w:b/>
          <w:bCs/>
          <w:sz w:val="22"/>
          <w:szCs w:val="22"/>
        </w:rPr>
      </w:pPr>
    </w:p>
    <w:p w14:paraId="243DEE26" w14:textId="77777777" w:rsidR="00B44772" w:rsidRPr="0001362C" w:rsidRDefault="00B44772" w:rsidP="00E61B3F">
      <w:pPr>
        <w:spacing w:line="276" w:lineRule="auto"/>
        <w:jc w:val="center"/>
        <w:rPr>
          <w:rFonts w:ascii="Museo Sans 300" w:hAnsi="Museo Sans 300" w:cstheme="minorHAnsi"/>
          <w:b/>
          <w:bCs/>
          <w:sz w:val="22"/>
          <w:szCs w:val="22"/>
        </w:rPr>
      </w:pPr>
    </w:p>
    <w:p w14:paraId="76E5E65E" w14:textId="77777777" w:rsidR="00B44772" w:rsidRPr="0001362C" w:rsidRDefault="00B44772" w:rsidP="00E61B3F">
      <w:pPr>
        <w:spacing w:line="276" w:lineRule="auto"/>
        <w:jc w:val="center"/>
        <w:rPr>
          <w:rFonts w:ascii="Museo Sans 300" w:hAnsi="Museo Sans 300" w:cstheme="minorHAnsi"/>
          <w:b/>
          <w:bCs/>
          <w:sz w:val="22"/>
          <w:szCs w:val="22"/>
        </w:rPr>
      </w:pPr>
    </w:p>
    <w:p w14:paraId="6CC397AF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  <w:bookmarkStart w:id="3" w:name="_Toc505951453"/>
    </w:p>
    <w:bookmarkEnd w:id="3"/>
    <w:p w14:paraId="269F1860" w14:textId="77777777" w:rsidR="00E61B3F" w:rsidRPr="0001362C" w:rsidRDefault="00E61B3F" w:rsidP="00E61B3F">
      <w:pPr>
        <w:pStyle w:val="TtuloTDC"/>
        <w:spacing w:line="276" w:lineRule="auto"/>
        <w:jc w:val="center"/>
        <w:rPr>
          <w:rFonts w:ascii="Museo Sans 300" w:hAnsi="Museo Sans 300" w:cstheme="minorHAnsi"/>
          <w:sz w:val="22"/>
          <w:szCs w:val="22"/>
        </w:rPr>
      </w:pPr>
    </w:p>
    <w:sdt>
      <w:sdtPr>
        <w:rPr>
          <w:rFonts w:ascii="Museo Sans 300" w:hAnsi="Museo Sans 300" w:cstheme="minorHAnsi"/>
          <w:sz w:val="22"/>
          <w:szCs w:val="22"/>
          <w:lang w:val="es-ES"/>
        </w:rPr>
        <w:id w:val="-271239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76E1D5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2BC282BE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01E8F1C" w14:textId="77777777" w:rsidR="00665494" w:rsidRPr="0001362C" w:rsidRDefault="00441AD3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  <w:r w:rsidRPr="0001362C">
            <w:rPr>
              <w:rFonts w:ascii="Museo Sans 300" w:hAnsi="Museo Sans 300" w:cstheme="minorHAns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917778F" wp14:editId="34525D7A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400685</wp:posOffset>
                    </wp:positionV>
                    <wp:extent cx="5642610" cy="13919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2919" cy="1392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16307" w14:textId="719AD5DE" w:rsidR="003172D4" w:rsidRPr="00075F3A" w:rsidRDefault="003172D4" w:rsidP="00665494">
                                <w:pPr>
                                  <w:jc w:val="center"/>
                                  <w:rPr>
                                    <w:rFonts w:cstheme="minorHAnsi"/>
                                    <w:color w:val="002060"/>
                                    <w:sz w:val="60"/>
                                    <w:szCs w:val="60"/>
                                    <w:lang w:val="es-SV"/>
                                  </w:rPr>
                                </w:pPr>
                                <w:r w:rsidRPr="00075F3A">
                                  <w:rPr>
                                    <w:rFonts w:cstheme="minorHAnsi"/>
                                    <w:b/>
                                    <w:color w:val="002060"/>
                                    <w:sz w:val="60"/>
                                    <w:szCs w:val="60"/>
                                    <w:lang w:val="es-MX"/>
                                  </w:rPr>
                                  <w:t>INFORME PRELIMINAR</w:t>
                                </w:r>
                                <w:r w:rsidRPr="00075F3A">
                                  <w:rPr>
                                    <w:rFonts w:cstheme="minorHAnsi"/>
                                    <w:color w:val="002060"/>
                                    <w:sz w:val="60"/>
                                    <w:szCs w:val="60"/>
                                    <w:lang w:val="es-MX"/>
                                  </w:rPr>
                                  <w:t xml:space="preserve"> DE GESTIÓN DE LAS FINANZAS PÚBLICAS</w:t>
                                </w:r>
                                <w:r>
                                  <w:rPr>
                                    <w:rFonts w:cstheme="minorHAnsi"/>
                                    <w:color w:val="002060"/>
                                    <w:sz w:val="60"/>
                                    <w:szCs w:val="60"/>
                                    <w:lang w:val="es-MX"/>
                                  </w:rPr>
                                  <w:t xml:space="preserve"> A JUNIO 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17778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31.55pt;width:444.3pt;height:109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" filled="f" stroked="f">
                    <v:textbox>
                      <w:txbxContent>
                        <w:p w14:paraId="38E16307" w14:textId="719AD5DE" w:rsidR="003172D4" w:rsidRPr="00075F3A" w:rsidRDefault="003172D4" w:rsidP="00665494">
                          <w:pPr>
                            <w:jc w:val="center"/>
                            <w:rPr>
                              <w:rFonts w:cstheme="minorHAnsi"/>
                              <w:color w:val="002060"/>
                              <w:sz w:val="60"/>
                              <w:szCs w:val="60"/>
                              <w:lang w:val="es-SV"/>
                            </w:rPr>
                          </w:pPr>
                          <w:r w:rsidRPr="00075F3A">
                            <w:rPr>
                              <w:rFonts w:cstheme="minorHAnsi"/>
                              <w:b/>
                              <w:color w:val="002060"/>
                              <w:sz w:val="60"/>
                              <w:szCs w:val="60"/>
                              <w:lang w:val="es-MX"/>
                            </w:rPr>
                            <w:t>INFORME PRELIMINAR</w:t>
                          </w:r>
                          <w:r w:rsidRPr="00075F3A">
                            <w:rPr>
                              <w:rFonts w:cstheme="minorHAnsi"/>
                              <w:color w:val="002060"/>
                              <w:sz w:val="60"/>
                              <w:szCs w:val="60"/>
                              <w:lang w:val="es-MX"/>
                            </w:rPr>
                            <w:t xml:space="preserve"> DE GESTIÓN DE LAS FINANZAS PÚBLICAS</w:t>
                          </w:r>
                          <w:r>
                            <w:rPr>
                              <w:rFonts w:cstheme="minorHAnsi"/>
                              <w:color w:val="002060"/>
                              <w:sz w:val="60"/>
                              <w:szCs w:val="60"/>
                              <w:lang w:val="es-MX"/>
                            </w:rPr>
                            <w:t xml:space="preserve"> A JUNIO 2025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0F650815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31F3B81D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DEB09FF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CEB7731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204880DF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884BE69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37897BFD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30667B71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69A726B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4E2460F1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4A7D0DE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504D441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754F81E6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06374EEB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2DB3250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7E25EF97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0656D78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E254094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62B3925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33C0FF2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023C5FAE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12F427E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6D16C306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1D44B990" w14:textId="77777777" w:rsidR="00665494" w:rsidRPr="0001362C" w:rsidRDefault="00665494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  <w:lang w:val="es-ES"/>
            </w:rPr>
          </w:pPr>
        </w:p>
        <w:p w14:paraId="708F90DE" w14:textId="77777777" w:rsidR="00B44772" w:rsidRPr="0001362C" w:rsidRDefault="00B44772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</w:rPr>
          </w:pPr>
          <w:r w:rsidRPr="0001362C">
            <w:rPr>
              <w:rFonts w:ascii="Museo Sans 300" w:hAnsi="Museo Sans 300" w:cstheme="minorHAnsi"/>
              <w:sz w:val="22"/>
              <w:szCs w:val="22"/>
              <w:lang w:val="es-ES"/>
            </w:rPr>
            <w:t>Contenido</w:t>
          </w:r>
        </w:p>
        <w:p w14:paraId="3EDB3477" w14:textId="79140B47" w:rsidR="00CF2637" w:rsidRDefault="00B44772">
          <w:pPr>
            <w:pStyle w:val="TDC1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r w:rsidRPr="0001362C">
            <w:rPr>
              <w:rFonts w:ascii="Museo Sans 300" w:hAnsi="Museo Sans 300" w:cstheme="minorHAnsi"/>
              <w:sz w:val="22"/>
              <w:szCs w:val="22"/>
            </w:rPr>
            <w:fldChar w:fldCharType="begin"/>
          </w:r>
          <w:r w:rsidRPr="0001362C">
            <w:rPr>
              <w:rFonts w:ascii="Museo Sans 300" w:hAnsi="Museo Sans 300" w:cstheme="minorHAnsi"/>
              <w:sz w:val="22"/>
              <w:szCs w:val="22"/>
            </w:rPr>
            <w:instrText xml:space="preserve"> TOC \o "1-3" \h \z \u </w:instrText>
          </w:r>
          <w:r w:rsidRPr="0001362C">
            <w:rPr>
              <w:rFonts w:ascii="Museo Sans 300" w:hAnsi="Museo Sans 300" w:cstheme="minorHAnsi"/>
              <w:sz w:val="22"/>
              <w:szCs w:val="22"/>
            </w:rPr>
            <w:fldChar w:fldCharType="separate"/>
          </w:r>
          <w:hyperlink w:anchor="_Toc207711192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RESUMEN EJECUTIVO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_Toc207711192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3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7A7889ED" w14:textId="6CC5DACE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3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I.  La ejecución financiera del Sector Público No Financiero (SPNF) a junio 2025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_Toc207711193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3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7D503AFC" w14:textId="37477EDA" w:rsidR="00CF2637" w:rsidRDefault="00B70EC7">
          <w:pPr>
            <w:pStyle w:val="TDC1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4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</w:rPr>
              <w:t>GESTIÓN DE LAS FINANZAS PÚBLICAS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_Toc207711194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5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09F3D959" w14:textId="1740D2AC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5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1. Ingresos Totales del SPNF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_Toc207711195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5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6AE5F249" w14:textId="568E0BA6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6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1.1 Ingresos Tributarios y Contribuciones Especiales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_Toc207711196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5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128CDB40" w14:textId="7E859FE7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7" w:history="1">
            <w:r w:rsidR="00CF2637" w:rsidRPr="004E1B46">
              <w:rPr>
                <w:rStyle w:val="Hipervnculo"/>
                <w:noProof/>
              </w:rPr>
              <w:t>1.2 Recaudación por Cartera, Sector Económico y por Departamento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_Toc207711197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8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40C3DC20" w14:textId="342AEFC2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8" w:history="1">
            <w:r w:rsidR="00CF2637" w:rsidRPr="004E1B46">
              <w:rPr>
                <w:rStyle w:val="Hipervnculo"/>
                <w:noProof/>
              </w:rPr>
              <w:t>1.3 Ingresos no Tributarios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_Toc207711198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10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34E0821B" w14:textId="3CA6A570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199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 xml:space="preserve">2. Gastos del Sector Público No Financiero 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_Toc207711199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10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3EC0E6B" w14:textId="716520A9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0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2.1 Gastos corrientes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_Toc207711200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10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31F1D2B9" w14:textId="0815B2D1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1" w:history="1">
            <w:r w:rsidR="00CF2637" w:rsidRPr="004E1B46">
              <w:rPr>
                <w:rStyle w:val="Hipervnculo"/>
                <w:rFonts w:ascii="Museo Sans 300" w:hAnsi="Museo Sans 300" w:cstheme="minorHAnsi"/>
                <w:i/>
                <w:noProof/>
                <w:lang w:val="es-MX"/>
              </w:rPr>
              <w:t>2.2 Gasto de Capital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_Toc207711201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11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52DD15C" w14:textId="387AB869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2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3.1 Deuda Interna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_Toc207711202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15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69C57B34" w14:textId="44B251F8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3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3.2 Deuda externa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_Toc207711203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15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5814705A" w14:textId="481865A9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4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3.3 Servicio de la Deuda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_Toc207711204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16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3270D34" w14:textId="4B63B572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5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>4. Resultados Globales del SPNF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_Toc207711205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16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C325BEF" w14:textId="020B3D36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6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</w:rPr>
              <w:t>4.1 Balance Primario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_Toc207711206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17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2FDA3B6" w14:textId="0B5D7724" w:rsidR="00CF2637" w:rsidRDefault="00B70EC7">
          <w:pPr>
            <w:pStyle w:val="TD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7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</w:rPr>
              <w:t>4.2 Balance global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_Toc207711207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17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777E4652" w14:textId="2C2BABD9" w:rsidR="00CF2637" w:rsidRDefault="00B70EC7">
          <w:pPr>
            <w:pStyle w:val="TD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207711208" w:history="1">
            <w:r w:rsidR="00CF2637" w:rsidRPr="004E1B46">
              <w:rPr>
                <w:rStyle w:val="Hipervnculo"/>
                <w:rFonts w:ascii="Museo Sans 300" w:hAnsi="Museo Sans 300" w:cstheme="minorHAnsi"/>
                <w:noProof/>
                <w:lang w:val="es-MX"/>
              </w:rPr>
              <w:t xml:space="preserve">5. </w:t>
            </w:r>
            <w:r w:rsidR="00CF2637" w:rsidRPr="004E1B46">
              <w:rPr>
                <w:rStyle w:val="Hipervnculo"/>
                <w:rFonts w:ascii="Museo Sans 300" w:hAnsi="Museo Sans 300" w:cstheme="minorHAnsi"/>
                <w:noProof/>
              </w:rPr>
              <w:t>Anexos.</w:t>
            </w:r>
            <w:r w:rsidR="00CF2637">
              <w:rPr>
                <w:noProof/>
                <w:webHidden/>
              </w:rPr>
              <w:tab/>
            </w:r>
            <w:r w:rsidR="00CF2637">
              <w:rPr>
                <w:noProof/>
                <w:webHidden/>
              </w:rPr>
              <w:fldChar w:fldCharType="begin"/>
            </w:r>
            <w:r w:rsidR="00CF2637">
              <w:rPr>
                <w:noProof/>
                <w:webHidden/>
              </w:rPr>
              <w:instrText xml:space="preserve"> PAGEREF _Toc207711208 \h </w:instrText>
            </w:r>
            <w:r w:rsidR="00CF2637">
              <w:rPr>
                <w:noProof/>
                <w:webHidden/>
              </w:rPr>
            </w:r>
            <w:r w:rsidR="00CF2637">
              <w:rPr>
                <w:noProof/>
                <w:webHidden/>
              </w:rPr>
              <w:fldChar w:fldCharType="separate"/>
            </w:r>
            <w:r w:rsidR="00A21592">
              <w:rPr>
                <w:noProof/>
                <w:webHidden/>
              </w:rPr>
              <w:t>19</w:t>
            </w:r>
            <w:r w:rsidR="00CF2637">
              <w:rPr>
                <w:noProof/>
                <w:webHidden/>
              </w:rPr>
              <w:fldChar w:fldCharType="end"/>
            </w:r>
          </w:hyperlink>
        </w:p>
        <w:p w14:paraId="2E81784C" w14:textId="76310667" w:rsidR="00B44772" w:rsidRPr="0001362C" w:rsidRDefault="00B44772" w:rsidP="00E61B3F">
          <w:pPr>
            <w:spacing w:line="276" w:lineRule="auto"/>
            <w:rPr>
              <w:rFonts w:ascii="Museo Sans 300" w:hAnsi="Museo Sans 300" w:cstheme="minorHAnsi"/>
              <w:sz w:val="22"/>
              <w:szCs w:val="22"/>
            </w:rPr>
          </w:pPr>
          <w:r w:rsidRPr="0001362C">
            <w:rPr>
              <w:rFonts w:ascii="Museo Sans 300" w:hAnsi="Museo Sans 300" w:cstheme="minorHAnsi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37F0C617" w14:textId="77777777" w:rsidR="00B44772" w:rsidRPr="0001362C" w:rsidRDefault="00B44772" w:rsidP="00E61B3F">
      <w:pPr>
        <w:pStyle w:val="Ttulo2"/>
        <w:spacing w:line="276" w:lineRule="auto"/>
        <w:jc w:val="center"/>
        <w:rPr>
          <w:rFonts w:ascii="Museo Sans 300" w:hAnsi="Museo Sans 300" w:cstheme="minorHAnsi"/>
          <w:szCs w:val="22"/>
          <w:lang w:val="es-MX"/>
        </w:rPr>
      </w:pPr>
    </w:p>
    <w:p w14:paraId="2AEC28F6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40EC3F95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42500548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12E75FF2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515870A6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  <w:bookmarkStart w:id="4" w:name="_GoBack"/>
      <w:bookmarkEnd w:id="4"/>
    </w:p>
    <w:p w14:paraId="48E670D0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4B82B39A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70310531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23A1185F" w14:textId="6B7DF274" w:rsidR="00B44772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59CB394F" w14:textId="1FE14FB6" w:rsidR="0001362C" w:rsidRDefault="0001362C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21BBAB06" w14:textId="379CB79B" w:rsidR="0001362C" w:rsidRDefault="0001362C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123C9884" w14:textId="39B3C650" w:rsidR="0001362C" w:rsidRDefault="0001362C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40CBB40B" w14:textId="77777777" w:rsidR="0001362C" w:rsidRPr="0001362C" w:rsidRDefault="0001362C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7630B9D1" w14:textId="77777777" w:rsidR="00B44772" w:rsidRPr="0001362C" w:rsidRDefault="00B44772" w:rsidP="00E61B3F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465587CD" w14:textId="77777777" w:rsidR="000E7ED7" w:rsidRPr="0001362C" w:rsidRDefault="000E7ED7" w:rsidP="00055C62">
      <w:pPr>
        <w:pStyle w:val="Ttulo1"/>
        <w:spacing w:after="240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bookmarkStart w:id="5" w:name="_Toc207711192"/>
      <w:r w:rsidRPr="0001362C">
        <w:rPr>
          <w:rFonts w:ascii="Museo Sans 300" w:hAnsi="Museo Sans 300" w:cstheme="minorHAnsi"/>
          <w:sz w:val="22"/>
          <w:szCs w:val="22"/>
          <w:lang w:val="es-MX"/>
        </w:rPr>
        <w:lastRenderedPageBreak/>
        <w:t>RESUMEN EJECUTIVO</w:t>
      </w:r>
      <w:bookmarkEnd w:id="1"/>
      <w:bookmarkEnd w:id="2"/>
      <w:bookmarkEnd w:id="5"/>
    </w:p>
    <w:p w14:paraId="5A47AD7F" w14:textId="03925CEB" w:rsidR="000E7ED7" w:rsidRPr="0001362C" w:rsidRDefault="000E7ED7" w:rsidP="006E53FC">
      <w:pPr>
        <w:pStyle w:val="Ttulo2"/>
        <w:spacing w:line="480" w:lineRule="auto"/>
        <w:ind w:left="329" w:hanging="329"/>
        <w:rPr>
          <w:rFonts w:ascii="Museo Sans 300" w:hAnsi="Museo Sans 300" w:cstheme="minorHAnsi"/>
          <w:b w:val="0"/>
          <w:szCs w:val="22"/>
          <w:lang w:val="es-MX"/>
        </w:rPr>
      </w:pPr>
      <w:bookmarkStart w:id="6" w:name="_Toc169162405"/>
      <w:bookmarkStart w:id="7" w:name="_Toc207711193"/>
      <w:r w:rsidRPr="0001362C">
        <w:rPr>
          <w:rFonts w:ascii="Museo Sans 300" w:hAnsi="Museo Sans 300" w:cstheme="minorHAnsi"/>
          <w:szCs w:val="22"/>
          <w:lang w:val="es-MX"/>
        </w:rPr>
        <w:t xml:space="preserve">I.  La ejecución financiera del Sector Público No Financiero (SPNF) </w:t>
      </w:r>
      <w:r w:rsidR="00724E84" w:rsidRPr="0001362C">
        <w:rPr>
          <w:rFonts w:ascii="Museo Sans 300" w:hAnsi="Museo Sans 300" w:cstheme="minorHAnsi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Cs w:val="22"/>
          <w:lang w:val="es-MX"/>
        </w:rPr>
        <w:t xml:space="preserve"> 202</w:t>
      </w:r>
      <w:r w:rsidR="00724E84" w:rsidRPr="0001362C">
        <w:rPr>
          <w:rFonts w:ascii="Museo Sans 300" w:hAnsi="Museo Sans 300" w:cstheme="minorHAnsi"/>
          <w:szCs w:val="22"/>
          <w:lang w:val="es-MX"/>
        </w:rPr>
        <w:t>5</w:t>
      </w:r>
      <w:bookmarkEnd w:id="6"/>
      <w:bookmarkEnd w:id="7"/>
      <w:r w:rsidRPr="0001362C">
        <w:rPr>
          <w:rFonts w:ascii="Museo Sans 300" w:hAnsi="Museo Sans 300" w:cstheme="minorHAnsi"/>
          <w:szCs w:val="22"/>
          <w:lang w:val="es-MX"/>
        </w:rPr>
        <w:t xml:space="preserve"> </w:t>
      </w:r>
    </w:p>
    <w:p w14:paraId="0AD7BBCE" w14:textId="02A6C880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El Balance Fiscal del SPNF consolidado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, presenta un déficit </w:t>
      </w:r>
      <w:r w:rsidR="002574B4" w:rsidRPr="0001362C">
        <w:rPr>
          <w:rFonts w:ascii="Museo Sans 300" w:hAnsi="Museo Sans 300" w:cstheme="minorHAnsi"/>
          <w:sz w:val="22"/>
          <w:szCs w:val="22"/>
          <w:lang w:val="es-MX"/>
        </w:rPr>
        <w:t>con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pensiones de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439.8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ayor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en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21.4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a los resultados obtenidos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B6261C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 En términos del PIB fue equivalente al -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1.2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%. </w:t>
      </w:r>
    </w:p>
    <w:p w14:paraId="114C7913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3DCD79F6" w14:textId="25D2FB5E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El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B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alance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P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rimario obtuvo un superávit de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447.0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1.2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del PIB, </w:t>
      </w:r>
      <w:r w:rsidR="002574B4" w:rsidRPr="0001362C">
        <w:rPr>
          <w:rFonts w:ascii="Museo Sans 300" w:hAnsi="Museo Sans 300" w:cstheme="minorHAnsi"/>
          <w:sz w:val="22"/>
          <w:szCs w:val="22"/>
          <w:lang w:val="es-MX"/>
        </w:rPr>
        <w:t>mayor en 0.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1</w:t>
      </w:r>
      <w:r w:rsidR="002574B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puntos porcentuales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al resultado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B6261C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</w:t>
      </w:r>
    </w:p>
    <w:p w14:paraId="0ECCA4B7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BD7CBDB" w14:textId="0578A611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Los ingresos totales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registraron un valor de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5,090.4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mostrando un crecimiento anual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%, equivalente a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333.8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originado principalmente por el aumento en los ingresos tributarios. 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Al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segundo trimestre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>, de forma preliminar l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os ingresos totales </w:t>
      </w:r>
      <w:r w:rsidR="002C6ACB">
        <w:rPr>
          <w:rFonts w:ascii="Museo Sans 300" w:hAnsi="Museo Sans 300" w:cstheme="minorHAnsi"/>
          <w:sz w:val="22"/>
          <w:szCs w:val="22"/>
          <w:lang w:val="es-MX"/>
        </w:rPr>
        <w:t>equivalen</w:t>
      </w:r>
      <w:r w:rsidR="00EF7EB7">
        <w:rPr>
          <w:rFonts w:ascii="Museo Sans 300" w:hAnsi="Museo Sans 300" w:cstheme="minorHAnsi"/>
          <w:sz w:val="22"/>
          <w:szCs w:val="22"/>
          <w:lang w:val="es-MX"/>
        </w:rPr>
        <w:t xml:space="preserve"> 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13.9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00B4866D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2895AC5C" w14:textId="4270C4D8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 recaudación tributaria (incluyendo las contribuciones especiales) alcanzó un monto de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4,370.2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 aumento de $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313.1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millones con respecto al mismo período de 202</w:t>
      </w:r>
      <w:r w:rsidR="002574B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="00E22D40" w:rsidRPr="0001362C">
        <w:rPr>
          <w:rFonts w:ascii="Museo Sans 300" w:hAnsi="Museo Sans 300" w:cstheme="minorHAnsi"/>
          <w:sz w:val="22"/>
          <w:szCs w:val="22"/>
          <w:lang w:val="es-MX"/>
        </w:rPr>
        <w:t>, con una variación interanual de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7.7</w:t>
      </w:r>
      <w:r w:rsidR="00E22D40" w:rsidRPr="0001362C">
        <w:rPr>
          <w:rFonts w:ascii="Museo Sans 300" w:hAnsi="Museo Sans 300" w:cstheme="minorHAnsi"/>
          <w:sz w:val="22"/>
          <w:szCs w:val="22"/>
          <w:lang w:val="es-MX"/>
        </w:rPr>
        <w:t>%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 El coeficiente de tributación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>, de forma preliminar,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con relación al PIB </w:t>
      </w:r>
      <w:r w:rsidR="00EF7EB7">
        <w:rPr>
          <w:rFonts w:ascii="Museo Sans 300" w:hAnsi="Museo Sans 300" w:cstheme="minorHAnsi"/>
          <w:sz w:val="22"/>
          <w:szCs w:val="22"/>
          <w:lang w:val="es-MX"/>
        </w:rPr>
        <w:t>representa</w:t>
      </w:r>
      <w:r w:rsidR="002574B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11.9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puntos porcentuales.</w:t>
      </w:r>
    </w:p>
    <w:p w14:paraId="11021812" w14:textId="77777777" w:rsidR="00E110B3" w:rsidRPr="0001362C" w:rsidRDefault="00E110B3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186236EE" w14:textId="47D7D9D9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Por fuente específica, el Impuesto al Valor Agregado registró un flujo acumulado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1,883.2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millones; el Impuesto sobre la Renta alcanzó un valor recaudado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 xml:space="preserve">2,023.8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millones, que en conjunto ambos impuestos suman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3,907.0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al 8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9.4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total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los ingresos tributarios</w:t>
      </w:r>
    </w:p>
    <w:p w14:paraId="0AE21621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1E779AAA" w14:textId="7430B65D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 recaudación por Derechos Arancelarios a la Importación de Bienes registró un total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178.0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mostrando un incremento de 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>11.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con respecto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3C3F2D9D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EC5A4D1" w14:textId="7A8A5826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Los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I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ngresos no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T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ributarios a nivel de SPNF registraron un monto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640.7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experimentando un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aumento de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46.5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con relación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5F50DC63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3C23A279" w14:textId="42720FA4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La ejecución del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G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asto </w:t>
      </w:r>
      <w:r w:rsidR="004B64AF" w:rsidRPr="0001362C">
        <w:rPr>
          <w:rFonts w:ascii="Museo Sans 300" w:hAnsi="Museo Sans 300" w:cstheme="minorHAnsi"/>
          <w:sz w:val="22"/>
          <w:szCs w:val="22"/>
          <w:lang w:val="es-MX"/>
        </w:rPr>
        <w:t>T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otal del SPNF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ascendió a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5,530.2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 xml:space="preserve"> incremento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355.2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con respecto al año anterior</w:t>
      </w:r>
      <w:r w:rsidR="007038CF" w:rsidRPr="0001362C">
        <w:rPr>
          <w:rFonts w:ascii="Museo Sans 300" w:hAnsi="Museo Sans 300" w:cstheme="minorHAnsi"/>
          <w:sz w:val="22"/>
          <w:szCs w:val="22"/>
          <w:lang w:val="es-MX"/>
        </w:rPr>
        <w:t>, mostrando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una variación interanual de 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6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.9% </w:t>
      </w:r>
      <w:r w:rsidR="00A0733E" w:rsidRPr="0001362C">
        <w:rPr>
          <w:rFonts w:ascii="Museo Sans 300" w:hAnsi="Museo Sans 300" w:cstheme="minorHAnsi"/>
          <w:sz w:val="22"/>
          <w:szCs w:val="22"/>
          <w:lang w:val="es-MX"/>
        </w:rPr>
        <w:t>con respecto al mismo período en 2024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3E1CD400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72FDC7E2" w14:textId="02DDD2CD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Los </w:t>
      </w:r>
      <w:r w:rsidR="00D7299C" w:rsidRPr="0001362C">
        <w:rPr>
          <w:rFonts w:ascii="Museo Sans 300" w:hAnsi="Museo Sans 300" w:cstheme="minorHAnsi"/>
          <w:sz w:val="22"/>
          <w:szCs w:val="22"/>
          <w:lang w:val="es-MX"/>
        </w:rPr>
        <w:t>G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astos </w:t>
      </w:r>
      <w:r w:rsidR="00D7299C" w:rsidRPr="0001362C">
        <w:rPr>
          <w:rFonts w:ascii="Museo Sans 300" w:hAnsi="Museo Sans 300" w:cstheme="minorHAnsi"/>
          <w:sz w:val="22"/>
          <w:szCs w:val="22"/>
          <w:lang w:val="es-MX"/>
        </w:rPr>
        <w:t>C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orrientes del SPNF registraron un monto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4,692.5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mostrando un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 xml:space="preserve"> aumento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2.4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496D8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con respecto al mismo período en 2024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</w:t>
      </w:r>
    </w:p>
    <w:p w14:paraId="0CEA18AC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0BC143CC" w14:textId="1E40619F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Los </w:t>
      </w:r>
      <w:r w:rsidR="00D7299C" w:rsidRPr="0001362C">
        <w:rPr>
          <w:rFonts w:ascii="Museo Sans 300" w:hAnsi="Museo Sans 300" w:cstheme="minorHAnsi"/>
          <w:sz w:val="22"/>
          <w:szCs w:val="22"/>
          <w:lang w:val="es-MX"/>
        </w:rPr>
        <w:t>G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astos de </w:t>
      </w:r>
      <w:r w:rsidR="00D7299C" w:rsidRPr="0001362C">
        <w:rPr>
          <w:rFonts w:ascii="Museo Sans 300" w:hAnsi="Museo Sans 300" w:cstheme="minorHAnsi"/>
          <w:sz w:val="22"/>
          <w:szCs w:val="22"/>
          <w:lang w:val="es-MX"/>
        </w:rPr>
        <w:t>C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apital del SPNF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alcanzaron un monto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867.7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experimentando un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aumento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>l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46.7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con respecto a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La Inversión Pública del SPNF alcanzó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lastRenderedPageBreak/>
        <w:t>un valor 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796.3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</w:t>
      </w:r>
      <w:r w:rsidR="008C342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aumento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$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236.8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respecto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La inversión ejecutada en el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segundo trimestre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representa </w:t>
      </w:r>
      <w:r w:rsidR="00934CA5">
        <w:rPr>
          <w:rFonts w:ascii="Museo Sans 300" w:hAnsi="Museo Sans 300" w:cstheme="minorHAnsi"/>
          <w:sz w:val="22"/>
          <w:szCs w:val="22"/>
          <w:lang w:val="es-MX"/>
        </w:rPr>
        <w:t>2.2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preliminar a 2025.</w:t>
      </w:r>
    </w:p>
    <w:p w14:paraId="10529D43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4D191E55" w14:textId="5F483403" w:rsidR="00EE0EA8" w:rsidRPr="0001362C" w:rsidRDefault="000E7ED7" w:rsidP="00055C62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La deuda del SPNF sin pensiones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ascendió a $</w:t>
      </w:r>
      <w:r w:rsidR="007448A8" w:rsidRPr="0001362C">
        <w:rPr>
          <w:rFonts w:ascii="Museo Sans 300" w:hAnsi="Museo Sans 300" w:cstheme="minorHAnsi"/>
          <w:sz w:val="22"/>
          <w:szCs w:val="22"/>
          <w:lang w:val="es-MX"/>
        </w:rPr>
        <w:t>20,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869.7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 5</w:t>
      </w:r>
      <w:r w:rsidR="00EF7EB7">
        <w:rPr>
          <w:rFonts w:ascii="Museo Sans 300" w:hAnsi="Museo Sans 300" w:cstheme="minorHAnsi"/>
          <w:sz w:val="22"/>
          <w:szCs w:val="22"/>
          <w:lang w:val="es-MX"/>
        </w:rPr>
        <w:t>7.0</w:t>
      </w:r>
      <w:r w:rsidR="007448A8" w:rsidRPr="0001362C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8C279D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del PIB. Este valor está compuesto por $1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3,699.2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que corresponden a deuda externa, </w:t>
      </w:r>
      <w:r w:rsidR="008269EE" w:rsidRPr="0001362C">
        <w:rPr>
          <w:rFonts w:ascii="Museo Sans 300" w:hAnsi="Museo Sans 300" w:cstheme="minorHAnsi"/>
          <w:sz w:val="22"/>
          <w:szCs w:val="22"/>
          <w:lang w:val="es-MX"/>
        </w:rPr>
        <w:t>equivalente a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3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7.</w:t>
      </w:r>
      <w:r w:rsidR="00EF7EB7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 y $7,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170.6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correspondientes a deuda interna, equivalente a un 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19</w:t>
      </w:r>
      <w:r w:rsidR="004712F9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  <w:r w:rsidR="00EF7EB7">
        <w:rPr>
          <w:rFonts w:ascii="Museo Sans 300" w:hAnsi="Museo Sans 300" w:cstheme="minorHAnsi"/>
          <w:sz w:val="22"/>
          <w:szCs w:val="22"/>
          <w:lang w:val="es-MX"/>
        </w:rPr>
        <w:t>6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PIB.</w:t>
      </w:r>
    </w:p>
    <w:p w14:paraId="24E26791" w14:textId="5E62930E" w:rsidR="00F11962" w:rsidRPr="0001362C" w:rsidRDefault="00F11962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</w:rPr>
      </w:pPr>
    </w:p>
    <w:p w14:paraId="1CABEC30" w14:textId="77777777" w:rsidR="003065E6" w:rsidRPr="0001362C" w:rsidRDefault="003065E6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</w:rPr>
      </w:pPr>
    </w:p>
    <w:p w14:paraId="0A909DFF" w14:textId="77777777" w:rsidR="003065E6" w:rsidRPr="0001362C" w:rsidRDefault="003065E6" w:rsidP="00E61B3F">
      <w:pPr>
        <w:spacing w:after="200" w:line="276" w:lineRule="auto"/>
        <w:jc w:val="both"/>
        <w:rPr>
          <w:rFonts w:ascii="Museo Sans 300" w:hAnsi="Museo Sans 300" w:cstheme="minorHAnsi"/>
          <w:sz w:val="22"/>
          <w:szCs w:val="22"/>
        </w:rPr>
      </w:pPr>
    </w:p>
    <w:p w14:paraId="6909E7B9" w14:textId="77777777" w:rsidR="002309FE" w:rsidRPr="0001362C" w:rsidRDefault="006E53FC" w:rsidP="00E61B3F">
      <w:pPr>
        <w:spacing w:after="20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br w:type="page"/>
      </w:r>
    </w:p>
    <w:p w14:paraId="3C0B84DD" w14:textId="1CFAF0FF" w:rsidR="000E7ED7" w:rsidRPr="0001362C" w:rsidRDefault="000E7ED7" w:rsidP="000E0053">
      <w:pPr>
        <w:pStyle w:val="Ttulo1"/>
        <w:jc w:val="center"/>
        <w:rPr>
          <w:rFonts w:ascii="Museo Sans 300" w:hAnsi="Museo Sans 300" w:cstheme="minorHAnsi"/>
          <w:sz w:val="22"/>
          <w:szCs w:val="22"/>
        </w:rPr>
      </w:pPr>
      <w:bookmarkStart w:id="8" w:name="_Toc169162407"/>
      <w:bookmarkStart w:id="9" w:name="_Toc207711194"/>
      <w:r w:rsidRPr="0001362C">
        <w:rPr>
          <w:rFonts w:ascii="Museo Sans 300" w:hAnsi="Museo Sans 300" w:cstheme="minorHAnsi"/>
          <w:sz w:val="22"/>
          <w:szCs w:val="22"/>
        </w:rPr>
        <w:lastRenderedPageBreak/>
        <w:t>GESTI</w:t>
      </w:r>
      <w:r w:rsidR="00A34215" w:rsidRPr="0001362C">
        <w:rPr>
          <w:rFonts w:ascii="Museo Sans 300" w:hAnsi="Museo Sans 300" w:cstheme="minorHAnsi"/>
          <w:sz w:val="22"/>
          <w:szCs w:val="22"/>
        </w:rPr>
        <w:t>Ó</w:t>
      </w:r>
      <w:r w:rsidRPr="0001362C">
        <w:rPr>
          <w:rFonts w:ascii="Museo Sans 300" w:hAnsi="Museo Sans 300" w:cstheme="minorHAnsi"/>
          <w:sz w:val="22"/>
          <w:szCs w:val="22"/>
        </w:rPr>
        <w:t>N DE LAS FINANZAS PÚBLICAS</w:t>
      </w:r>
      <w:bookmarkEnd w:id="8"/>
      <w:bookmarkEnd w:id="9"/>
    </w:p>
    <w:p w14:paraId="20F4F844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bookmarkStart w:id="10" w:name="_Toc411843460"/>
    </w:p>
    <w:p w14:paraId="70E50458" w14:textId="2A954820" w:rsidR="000E7ED7" w:rsidRPr="0001362C" w:rsidRDefault="000E7ED7" w:rsidP="006E53FC">
      <w:pPr>
        <w:pStyle w:val="Ttulo2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11" w:name="_Toc505951454"/>
      <w:bookmarkStart w:id="12" w:name="_Toc207711195"/>
      <w:bookmarkStart w:id="13" w:name="_Toc56581204"/>
      <w:bookmarkStart w:id="14" w:name="_Toc169162408"/>
      <w:r w:rsidRPr="0001362C">
        <w:rPr>
          <w:rFonts w:ascii="Museo Sans 300" w:hAnsi="Museo Sans 300" w:cstheme="minorHAnsi"/>
          <w:szCs w:val="22"/>
          <w:lang w:val="es-MX"/>
        </w:rPr>
        <w:t>1. Ingresos Totales</w:t>
      </w:r>
      <w:bookmarkEnd w:id="10"/>
      <w:bookmarkEnd w:id="11"/>
      <w:r w:rsidRPr="0001362C">
        <w:rPr>
          <w:rFonts w:ascii="Museo Sans 300" w:hAnsi="Museo Sans 300" w:cstheme="minorHAnsi"/>
          <w:szCs w:val="22"/>
          <w:lang w:val="es-MX"/>
        </w:rPr>
        <w:t xml:space="preserve"> del SPNF</w:t>
      </w:r>
      <w:r w:rsidR="00076592" w:rsidRPr="0001362C">
        <w:rPr>
          <w:rStyle w:val="Refdenotaalpie"/>
          <w:rFonts w:ascii="Museo Sans 300" w:hAnsi="Museo Sans 300" w:cstheme="minorHAnsi"/>
          <w:szCs w:val="22"/>
          <w:lang w:val="es-MX"/>
        </w:rPr>
        <w:footnoteReference w:id="1"/>
      </w:r>
      <w:bookmarkEnd w:id="12"/>
      <w:r w:rsidRPr="0001362C">
        <w:rPr>
          <w:rFonts w:ascii="Museo Sans 300" w:hAnsi="Museo Sans 300" w:cstheme="minorHAnsi"/>
          <w:szCs w:val="22"/>
          <w:lang w:val="es-MX"/>
        </w:rPr>
        <w:t xml:space="preserve"> </w:t>
      </w:r>
      <w:bookmarkEnd w:id="13"/>
      <w:bookmarkEnd w:id="14"/>
    </w:p>
    <w:p w14:paraId="1CE4944A" w14:textId="33E85A16" w:rsidR="000E7ED7" w:rsidRPr="0001362C" w:rsidRDefault="000E7ED7" w:rsidP="00E61B3F">
      <w:pPr>
        <w:spacing w:line="276" w:lineRule="auto"/>
        <w:ind w:right="-34"/>
        <w:jc w:val="both"/>
        <w:rPr>
          <w:rFonts w:ascii="Museo Sans 300" w:hAnsi="Museo Sans 300" w:cstheme="minorHAnsi"/>
          <w:sz w:val="22"/>
          <w:szCs w:val="22"/>
          <w:lang w:val="es-MX"/>
        </w:rPr>
      </w:pPr>
      <w:bookmarkStart w:id="15" w:name="_Hlk128488275"/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Los ingresos totales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ascendieron a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5,090.4</w:t>
      </w:r>
      <w:r w:rsidR="000D7E4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millones, mostrando un aumento de 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%, equivalente a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333.8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respecto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B6261C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, determinado </w:t>
      </w:r>
      <w:r w:rsidR="008D26F9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principalmente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por incrementos en los ingresos tributarios</w:t>
      </w:r>
      <w:r w:rsidR="00F86DE4">
        <w:rPr>
          <w:rFonts w:ascii="Museo Sans 300" w:hAnsi="Museo Sans 300" w:cstheme="minorHAnsi"/>
          <w:sz w:val="22"/>
          <w:szCs w:val="22"/>
          <w:lang w:val="es-MX"/>
        </w:rPr>
        <w:t xml:space="preserve"> y no tributarios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Como porcentaje del PIB, los ingresos totales representaron un 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13.9</w:t>
      </w:r>
      <w:r w:rsidR="00A34215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puntos porcentuales. </w:t>
      </w:r>
    </w:p>
    <w:p w14:paraId="08199927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bookmarkEnd w:id="15"/>
    <w:p w14:paraId="76A60098" w14:textId="594AC915" w:rsidR="000E7ED7" w:rsidRPr="0001362C" w:rsidRDefault="000E7ED7" w:rsidP="003D42CA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1: Evolución de los Ingresos Totales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B6261C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bookmarkStart w:id="16" w:name="_Toc411843461"/>
      <w:bookmarkStart w:id="17" w:name="_Toc56581205"/>
    </w:p>
    <w:p w14:paraId="70EC35A2" w14:textId="12204A1D" w:rsidR="003D42CA" w:rsidRPr="0001362C" w:rsidRDefault="00EB5D16" w:rsidP="003D42CA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7BC8028A" wp14:editId="43165754">
            <wp:extent cx="5486400" cy="32004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9E13CA" w14:textId="77777777" w:rsidR="00087BC6" w:rsidRPr="0001362C" w:rsidRDefault="00087BC6" w:rsidP="00087BC6">
      <w:pPr>
        <w:spacing w:line="276" w:lineRule="auto"/>
        <w:rPr>
          <w:rFonts w:ascii="Museo Sans 300" w:hAnsi="Museo Sans 300" w:cstheme="minorHAnsi"/>
          <w:sz w:val="18"/>
          <w:szCs w:val="18"/>
          <w:lang w:val="es-MX"/>
        </w:rPr>
      </w:pPr>
      <w:r w:rsidRPr="0001362C">
        <w:rPr>
          <w:rFonts w:ascii="Museo Sans 300" w:hAnsi="Museo Sans 300" w:cstheme="minorHAnsi"/>
          <w:sz w:val="18"/>
          <w:szCs w:val="18"/>
          <w:lang w:val="es-MX"/>
        </w:rPr>
        <w:t>Fuente: Ministerio de Hacienda</w:t>
      </w:r>
    </w:p>
    <w:p w14:paraId="1EB046EF" w14:textId="77777777" w:rsidR="00087BC6" w:rsidRPr="0001362C" w:rsidRDefault="00087BC6" w:rsidP="00087BC6">
      <w:pPr>
        <w:rPr>
          <w:rFonts w:ascii="Museo Sans 300" w:hAnsi="Museo Sans 300"/>
          <w:sz w:val="22"/>
          <w:szCs w:val="22"/>
          <w:lang w:val="es-MX"/>
        </w:rPr>
      </w:pPr>
    </w:p>
    <w:p w14:paraId="799DF2C7" w14:textId="77777777" w:rsidR="000E7ED7" w:rsidRPr="0001362C" w:rsidRDefault="000E7ED7" w:rsidP="006E53FC">
      <w:pPr>
        <w:pStyle w:val="Ttulo3"/>
        <w:spacing w:line="480" w:lineRule="auto"/>
        <w:rPr>
          <w:rFonts w:ascii="Museo Sans 300" w:hAnsi="Museo Sans 300" w:cstheme="minorHAnsi"/>
          <w:b w:val="0"/>
          <w:szCs w:val="22"/>
          <w:lang w:val="es-MX"/>
        </w:rPr>
      </w:pPr>
      <w:bookmarkStart w:id="18" w:name="_Toc169162409"/>
      <w:bookmarkStart w:id="19" w:name="_Toc207711196"/>
      <w:r w:rsidRPr="0001362C">
        <w:rPr>
          <w:rFonts w:ascii="Museo Sans 300" w:hAnsi="Museo Sans 300" w:cstheme="minorHAnsi"/>
          <w:szCs w:val="22"/>
          <w:lang w:val="es-MX"/>
        </w:rPr>
        <w:t>1.1 Ingresos Tributarios</w:t>
      </w:r>
      <w:bookmarkEnd w:id="16"/>
      <w:bookmarkEnd w:id="17"/>
      <w:r w:rsidRPr="0001362C">
        <w:rPr>
          <w:rFonts w:ascii="Museo Sans 300" w:hAnsi="Museo Sans 300" w:cstheme="minorHAnsi"/>
          <w:szCs w:val="22"/>
          <w:lang w:val="es-MX"/>
        </w:rPr>
        <w:t xml:space="preserve"> y Contribuciones Especiales</w:t>
      </w:r>
      <w:bookmarkEnd w:id="18"/>
      <w:bookmarkEnd w:id="19"/>
    </w:p>
    <w:p w14:paraId="3B77A558" w14:textId="43370F0F" w:rsidR="000E7ED7" w:rsidRPr="0001362C" w:rsidRDefault="000E7ED7" w:rsidP="00E61B3F">
      <w:pPr>
        <w:spacing w:line="276" w:lineRule="auto"/>
        <w:ind w:right="-34"/>
        <w:jc w:val="both"/>
        <w:rPr>
          <w:rFonts w:ascii="Museo Sans 300" w:hAnsi="Museo Sans 300" w:cstheme="minorHAnsi"/>
          <w:sz w:val="22"/>
          <w:szCs w:val="22"/>
          <w:lang w:val="es-MX"/>
        </w:rPr>
      </w:pPr>
      <w:bookmarkStart w:id="20" w:name="_Hlk190435100"/>
      <w:bookmarkStart w:id="21" w:name="_Hlk128488333"/>
      <w:r w:rsidRPr="0001362C">
        <w:rPr>
          <w:rFonts w:ascii="Museo Sans 300" w:hAnsi="Museo Sans 300" w:cstheme="minorHAnsi"/>
          <w:sz w:val="22"/>
          <w:szCs w:val="22"/>
          <w:lang w:val="es-MX"/>
        </w:rPr>
        <w:t>La recaudación tributaria alcanzó un monto de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4,370.2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 aumento de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313.1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(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7.7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%) con respecto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Dicho incremento está determinado por la continuidad de las medidas </w:t>
      </w:r>
      <w:r w:rsidR="00677617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de fiscalización y administración tributaria: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la ejecución de planes de fiscalización para combatir la evasión y el contrabando,</w:t>
      </w:r>
      <w:r w:rsidR="0070292C" w:rsidRPr="0001362C">
        <w:rPr>
          <w:rFonts w:ascii="Museo Sans 300" w:hAnsi="Museo Sans 300"/>
          <w:noProof/>
          <w:sz w:val="22"/>
          <w:szCs w:val="22"/>
        </w:rPr>
        <w:t xml:space="preserve"> rendimientos de las amnistias fiscales implementadas en 2024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y la facturación electrónica</w:t>
      </w:r>
      <w:r w:rsidR="00677617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bookmarkEnd w:id="20"/>
    <w:p w14:paraId="780EEDEB" w14:textId="77777777" w:rsidR="000E7ED7" w:rsidRPr="0001362C" w:rsidRDefault="000E7ED7" w:rsidP="00E61B3F">
      <w:pPr>
        <w:spacing w:line="276" w:lineRule="auto"/>
        <w:ind w:left="-30" w:hanging="4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bookmarkEnd w:id="21"/>
    <w:p w14:paraId="6FCA3F1D" w14:textId="503D16C0" w:rsidR="000D7E4A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En la ejecución de la recaudación tributaria destacan los rendimientos de los impuestos de IVA y Renta </w:t>
      </w:r>
      <w:r w:rsidR="00573F4A">
        <w:rPr>
          <w:rFonts w:ascii="Museo Sans 300" w:hAnsi="Museo Sans 300" w:cstheme="minorHAnsi"/>
          <w:sz w:val="22"/>
          <w:szCs w:val="22"/>
          <w:lang w:val="es-MX"/>
        </w:rPr>
        <w:t xml:space="preserve">los cuales registraron en conjunto un monto de </w:t>
      </w:r>
      <w:r w:rsidR="000D7E4A" w:rsidRPr="0001362C">
        <w:rPr>
          <w:rFonts w:ascii="Museo Sans 300" w:hAnsi="Museo Sans 300" w:cstheme="minorHAnsi"/>
          <w:sz w:val="22"/>
          <w:szCs w:val="22"/>
          <w:lang w:val="es-MX"/>
        </w:rPr>
        <w:t>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3,907.0</w:t>
      </w:r>
      <w:r w:rsidR="000D7E4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al 8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9.4</w:t>
      </w:r>
      <w:r w:rsidR="000D7E4A" w:rsidRPr="0001362C">
        <w:rPr>
          <w:rFonts w:ascii="Museo Sans 300" w:hAnsi="Museo Sans 300" w:cstheme="minorHAnsi"/>
          <w:sz w:val="22"/>
          <w:szCs w:val="22"/>
          <w:lang w:val="es-MX"/>
        </w:rPr>
        <w:t>% del total</w:t>
      </w:r>
      <w:r w:rsidR="0093208D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los ingresos tributarios</w:t>
      </w:r>
      <w:r w:rsidR="000D7E4A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3CE4275C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17C6B696" w14:textId="50B2A59D" w:rsidR="000E7ED7" w:rsidRPr="0001362C" w:rsidRDefault="000E7ED7" w:rsidP="00E61B3F">
      <w:pPr>
        <w:spacing w:line="276" w:lineRule="auto"/>
        <w:ind w:right="-34"/>
        <w:jc w:val="both"/>
        <w:rPr>
          <w:rFonts w:ascii="Museo Sans 300" w:hAnsi="Museo Sans 300" w:cstheme="minorHAnsi"/>
          <w:color w:val="FF0000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Como resultado de lo anterior, el coeficiente de tributación con relación al PIB fue equivalente a 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11.9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911BEA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3D575AE1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B464107" w14:textId="355EC46F" w:rsidR="000E7ED7" w:rsidRPr="0001362C" w:rsidRDefault="000E7ED7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2: Ingresos tributarios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FF42D1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</w:p>
    <w:p w14:paraId="31399AD6" w14:textId="1226BC8D" w:rsidR="000E7ED7" w:rsidRPr="0001362C" w:rsidRDefault="000E7ED7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</w:p>
    <w:p w14:paraId="09F5CFCC" w14:textId="56FE6C1F" w:rsidR="009A5107" w:rsidRPr="0001362C" w:rsidRDefault="00EB5D16" w:rsidP="00087BC6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7986BD7F" wp14:editId="12D49DE5">
            <wp:extent cx="5371200" cy="3132000"/>
            <wp:effectExtent l="0" t="0" r="1270" b="1143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E059FD" w14:textId="77777777" w:rsidR="0001362C" w:rsidRPr="0001362C" w:rsidRDefault="0001362C" w:rsidP="0001362C">
      <w:pPr>
        <w:spacing w:line="276" w:lineRule="auto"/>
        <w:rPr>
          <w:rFonts w:ascii="Museo Sans 300" w:hAnsi="Museo Sans 300" w:cstheme="minorHAnsi"/>
          <w:sz w:val="18"/>
          <w:szCs w:val="18"/>
          <w:lang w:val="es-MX"/>
        </w:rPr>
      </w:pPr>
      <w:r w:rsidRPr="0001362C">
        <w:rPr>
          <w:rFonts w:ascii="Museo Sans 300" w:hAnsi="Museo Sans 300" w:cstheme="minorHAnsi"/>
          <w:sz w:val="18"/>
          <w:szCs w:val="18"/>
          <w:lang w:val="es-MX"/>
        </w:rPr>
        <w:t>Fuente: Ministerio de Hacienda</w:t>
      </w:r>
    </w:p>
    <w:p w14:paraId="25A69FD9" w14:textId="77777777" w:rsidR="0001362C" w:rsidRDefault="0001362C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36318699" w14:textId="53D4990A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De forma detallada, el Impuesto al Valor Agregado registró un monto de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1,883.2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mostrando un incremento de 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8.2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%, como resultado de variaciones positivas de sus componentes en donde se destaca 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 xml:space="preserve">la variación del IVA Importación con un crecimiento del 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9.8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5834CC"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y en IVA declaración (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6.4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%). Dentro de la composición de los Ingresos Tributarios, el IVA representó el 4</w:t>
      </w:r>
      <w:r w:rsidR="00117769">
        <w:rPr>
          <w:rFonts w:ascii="Museo Sans 300" w:hAnsi="Museo Sans 300" w:cstheme="minorHAnsi"/>
          <w:sz w:val="22"/>
          <w:szCs w:val="22"/>
          <w:lang w:val="es-MX"/>
        </w:rPr>
        <w:t>3.1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 del total.</w:t>
      </w:r>
    </w:p>
    <w:p w14:paraId="25056BFB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C0C5233" w14:textId="5C25F189" w:rsidR="000E7ED7" w:rsidRPr="00AD348F" w:rsidRDefault="000E7ED7" w:rsidP="00795301">
      <w:pPr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AD348F">
        <w:rPr>
          <w:rFonts w:ascii="Museo Sans 300" w:hAnsi="Museo Sans 300" w:cstheme="minorHAnsi"/>
          <w:sz w:val="22"/>
          <w:szCs w:val="22"/>
          <w:lang w:val="es-MX"/>
        </w:rPr>
        <w:t>El Impuesto sobre la Renta alcanzó un valor recaudado de $</w:t>
      </w:r>
      <w:r w:rsidR="001D2076">
        <w:rPr>
          <w:rFonts w:ascii="Museo Sans 300" w:hAnsi="Museo Sans 300" w:cstheme="minorHAnsi"/>
          <w:sz w:val="22"/>
          <w:szCs w:val="22"/>
          <w:lang w:val="es-MX"/>
        </w:rPr>
        <w:t>2,023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.8</w:t>
      </w:r>
      <w:r w:rsidRPr="00AD348F">
        <w:rPr>
          <w:rFonts w:ascii="Museo Sans 300" w:hAnsi="Museo Sans 300" w:cstheme="minorHAnsi"/>
          <w:sz w:val="22"/>
          <w:szCs w:val="22"/>
          <w:lang w:val="es-MX"/>
        </w:rPr>
        <w:t xml:space="preserve"> millones, observándose un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B01F63">
        <w:rPr>
          <w:rFonts w:ascii="Museo Sans 300" w:hAnsi="Museo Sans 300" w:cstheme="minorHAnsi"/>
          <w:sz w:val="22"/>
          <w:szCs w:val="22"/>
          <w:lang w:val="es-MX"/>
        </w:rPr>
        <w:t>aumento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AD348F">
        <w:rPr>
          <w:rFonts w:ascii="Museo Sans 300" w:hAnsi="Museo Sans 300" w:cstheme="minorHAnsi"/>
          <w:sz w:val="22"/>
          <w:szCs w:val="22"/>
          <w:lang w:val="es-MX"/>
        </w:rPr>
        <w:t xml:space="preserve">de 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7.3</w:t>
      </w:r>
      <w:r w:rsidRPr="00AD348F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CE5A10" w:rsidRPr="00AD348F">
        <w:rPr>
          <w:rFonts w:ascii="Museo Sans 300" w:hAnsi="Museo Sans 300" w:cstheme="minorHAnsi"/>
          <w:sz w:val="22"/>
          <w:szCs w:val="22"/>
          <w:lang w:val="es-MX"/>
        </w:rPr>
        <w:t xml:space="preserve"> respecto al mismo período en 2024</w:t>
      </w:r>
      <w:r w:rsidR="008464A4" w:rsidRPr="00163432">
        <w:rPr>
          <w:rFonts w:ascii="Museo Sans 300" w:hAnsi="Museo Sans 300" w:cstheme="minorHAnsi"/>
          <w:sz w:val="22"/>
          <w:szCs w:val="22"/>
          <w:lang w:val="es-MX"/>
        </w:rPr>
        <w:t>;</w:t>
      </w:r>
      <w:r w:rsidR="00AD348F"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8464A4" w:rsidRPr="00163432">
        <w:rPr>
          <w:rFonts w:ascii="Museo Sans 300" w:hAnsi="Museo Sans 300" w:cstheme="minorHAnsi"/>
          <w:sz w:val="22"/>
          <w:szCs w:val="22"/>
          <w:lang w:val="es-MX"/>
        </w:rPr>
        <w:t>por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componentes</w:t>
      </w:r>
      <w:r w:rsidR="007C4954"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mostraron las siguientes variaciones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: pago a cuenta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(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4.3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>)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 xml:space="preserve">, Retenciones 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>(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7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.</w:t>
      </w:r>
      <w:r w:rsidR="00DA1FE0" w:rsidRPr="00163432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>)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y Declaraciones</w:t>
      </w:r>
      <w:r w:rsidR="007A1A06" w:rsidRPr="00163432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>(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8.6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</w:t>
      </w:r>
      <w:r w:rsidR="00CE5A10" w:rsidRPr="00163432">
        <w:rPr>
          <w:rFonts w:ascii="Museo Sans 300" w:hAnsi="Museo Sans 300" w:cstheme="minorHAnsi"/>
          <w:sz w:val="22"/>
          <w:szCs w:val="22"/>
          <w:lang w:val="es-MX"/>
        </w:rPr>
        <w:t>)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 xml:space="preserve">. Dentro del total de ingresos tributarios, el impuesto sobre la Renta representó un </w:t>
      </w:r>
      <w:r w:rsidR="00163432" w:rsidRPr="00163432">
        <w:rPr>
          <w:rFonts w:ascii="Museo Sans 300" w:hAnsi="Museo Sans 300" w:cstheme="minorHAnsi"/>
          <w:sz w:val="22"/>
          <w:szCs w:val="22"/>
          <w:lang w:val="es-MX"/>
        </w:rPr>
        <w:t>4</w:t>
      </w:r>
      <w:r w:rsidR="00AF33D6">
        <w:rPr>
          <w:rFonts w:ascii="Museo Sans 300" w:hAnsi="Museo Sans 300" w:cstheme="minorHAnsi"/>
          <w:sz w:val="22"/>
          <w:szCs w:val="22"/>
          <w:lang w:val="es-MX"/>
        </w:rPr>
        <w:t>6.3</w:t>
      </w:r>
      <w:r w:rsidRPr="00163432">
        <w:rPr>
          <w:rFonts w:ascii="Museo Sans 300" w:hAnsi="Museo Sans 300" w:cstheme="minorHAnsi"/>
          <w:sz w:val="22"/>
          <w:szCs w:val="22"/>
          <w:lang w:val="es-MX"/>
        </w:rPr>
        <w:t>%.</w:t>
      </w:r>
      <w:r w:rsidRPr="00AD348F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33AF0960" w14:textId="77777777" w:rsidR="00B35EEB" w:rsidRPr="0001362C" w:rsidRDefault="00B35EEB" w:rsidP="00BC2933">
      <w:pPr>
        <w:jc w:val="both"/>
        <w:rPr>
          <w:rFonts w:ascii="Museo Sans 300" w:hAnsi="Museo Sans 300" w:cs="Calibri"/>
          <w:color w:val="FF0000"/>
          <w:sz w:val="22"/>
          <w:szCs w:val="22"/>
          <w:lang w:val="es-SV" w:eastAsia="es-SV"/>
        </w:rPr>
      </w:pPr>
    </w:p>
    <w:p w14:paraId="0B796D2A" w14:textId="28452922" w:rsidR="009A5107" w:rsidRPr="0001362C" w:rsidRDefault="009A5107" w:rsidP="009A5107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La recaudación </w:t>
      </w:r>
      <w:bookmarkStart w:id="22" w:name="_Hlk48627481"/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por Derechos Arancelarios a la Importación </w:t>
      </w:r>
      <w:bookmarkEnd w:id="22"/>
      <w:r w:rsidRPr="0001362C">
        <w:rPr>
          <w:rFonts w:ascii="Museo Sans 300" w:hAnsi="Museo Sans 300" w:cstheme="minorHAnsi"/>
          <w:sz w:val="22"/>
          <w:szCs w:val="22"/>
          <w:lang w:val="es-MX"/>
        </w:rPr>
        <w:t>de Bienes registró un total de 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178.0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mostrando un incremento de 11.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con respecto 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2024</w:t>
      </w:r>
      <w:r w:rsidRPr="0001362C">
        <w:rPr>
          <w:rFonts w:ascii="Museo Sans 300" w:hAnsi="Museo Sans 300" w:cstheme="minorHAnsi"/>
          <w:i/>
          <w:iCs/>
          <w:sz w:val="22"/>
          <w:szCs w:val="22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consistente con el comportamiento de las importaciones de bienes que presentó una variación anual positiva </w:t>
      </w:r>
      <w:r w:rsidRPr="00DF45DB">
        <w:rPr>
          <w:rFonts w:ascii="Museo Sans 300" w:hAnsi="Museo Sans 300" w:cstheme="minorHAnsi"/>
          <w:sz w:val="22"/>
          <w:szCs w:val="22"/>
          <w:lang w:val="es-MX"/>
        </w:rPr>
        <w:t xml:space="preserve">de </w:t>
      </w:r>
      <w:r w:rsidR="00DF45DB" w:rsidRPr="00DF45DB">
        <w:rPr>
          <w:rFonts w:ascii="Museo Sans 300" w:hAnsi="Museo Sans 300" w:cstheme="minorHAnsi"/>
          <w:sz w:val="22"/>
          <w:szCs w:val="22"/>
          <w:lang w:val="es-MX"/>
        </w:rPr>
        <w:t>11.5</w:t>
      </w:r>
      <w:r w:rsidRPr="00DF45DB">
        <w:rPr>
          <w:rFonts w:ascii="Museo Sans 300" w:hAnsi="Museo Sans 300" w:cstheme="minorHAnsi"/>
          <w:sz w:val="22"/>
          <w:szCs w:val="22"/>
          <w:lang w:val="es-MX"/>
        </w:rPr>
        <w:t>%.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4C5D9F60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3EB80BC7" w14:textId="77777777" w:rsidR="002309FE" w:rsidRPr="0001362C" w:rsidRDefault="002309FE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3FC01545" w14:textId="77777777" w:rsidR="00DF45DB" w:rsidRDefault="00DF45DB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64D780B" w14:textId="44EFD4B6" w:rsidR="00E61B3F" w:rsidRPr="0001362C" w:rsidRDefault="00E61B3F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 xml:space="preserve">Gráfico 3: Ingresos tributarios del SPNF por fuentes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B6261C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</w:p>
    <w:p w14:paraId="0502FC44" w14:textId="7BA2EF35" w:rsidR="00E61B3F" w:rsidRPr="0001362C" w:rsidRDefault="00EB5D16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34BFCDE6" wp14:editId="6ED3A598">
            <wp:extent cx="5378400" cy="3096000"/>
            <wp:effectExtent l="0" t="0" r="13335" b="952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46E01" w14:textId="77777777" w:rsidR="00E61B3F" w:rsidRPr="0001362C" w:rsidRDefault="00E61B3F" w:rsidP="00E61B3F">
      <w:pPr>
        <w:spacing w:line="276" w:lineRule="auto"/>
        <w:rPr>
          <w:rFonts w:ascii="Museo Sans 300" w:hAnsi="Museo Sans 300" w:cstheme="minorHAnsi"/>
          <w:sz w:val="18"/>
          <w:szCs w:val="18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                  </w:t>
      </w:r>
      <w:r w:rsidRPr="0001362C">
        <w:rPr>
          <w:rFonts w:ascii="Museo Sans 300" w:hAnsi="Museo Sans 300" w:cstheme="minorHAnsi"/>
          <w:sz w:val="18"/>
          <w:szCs w:val="18"/>
          <w:lang w:val="es-MX"/>
        </w:rPr>
        <w:t xml:space="preserve">Fuente: Ministerio de Hacienda </w:t>
      </w:r>
    </w:p>
    <w:p w14:paraId="7F4D0A21" w14:textId="77777777" w:rsidR="00E61B3F" w:rsidRPr="0001362C" w:rsidRDefault="00E61B3F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</w:p>
    <w:p w14:paraId="498A9829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64FC469E" w14:textId="4D39D158" w:rsidR="009A5107" w:rsidRPr="0001362C" w:rsidRDefault="009A5107" w:rsidP="009A5107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En cuanto a los Impuestos Específicos al Consumo de Productos, estos registraron un valor de 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120.1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 un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 xml:space="preserve"> aum</w:t>
      </w:r>
      <w:r w:rsidR="007E6AE4">
        <w:rPr>
          <w:rFonts w:ascii="Museo Sans 300" w:hAnsi="Museo Sans 300" w:cstheme="minorHAnsi"/>
          <w:sz w:val="22"/>
          <w:szCs w:val="22"/>
          <w:lang w:val="es-MX"/>
        </w:rPr>
        <w:t>e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 xml:space="preserve">nto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de 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1.6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%, con respecto a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2024, resultado neto de variaciones positivas y negativas en sus componentes.</w:t>
      </w:r>
    </w:p>
    <w:p w14:paraId="3D2E008D" w14:textId="77777777" w:rsidR="009A5107" w:rsidRPr="0001362C" w:rsidRDefault="009A5107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8D8034E" w14:textId="6AA7D73B" w:rsidR="009A5107" w:rsidRPr="0001362C" w:rsidRDefault="009A5107" w:rsidP="009A5107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Las Contribuciones Especiales alcanzaron un valor de 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103.2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experimentando un incremento de 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4.3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%, con relación al mismo mes del año anterior, sobresaliendo la Contribución Especial del FOVIAL. </w:t>
      </w:r>
    </w:p>
    <w:p w14:paraId="02039843" w14:textId="77777777" w:rsidR="009A5107" w:rsidRPr="0001362C" w:rsidRDefault="009A5107" w:rsidP="009A5107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EF4FC68" w14:textId="7406492E" w:rsidR="009A5107" w:rsidRPr="0001362C" w:rsidRDefault="009A5107" w:rsidP="009A5107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En el rubro Otros, (compuesto principalmente por transferencias de propiedades y el impuesto especial 1ª. Matricula), la recaudación ascendió a 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62.0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con un crecimiento del 16.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con respecto al resultado obtenido en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2024.</w:t>
      </w:r>
    </w:p>
    <w:p w14:paraId="77841937" w14:textId="77777777" w:rsidR="009A5107" w:rsidRPr="0001362C" w:rsidRDefault="009A5107" w:rsidP="009A5107">
      <w:pPr>
        <w:spacing w:line="276" w:lineRule="auto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1C8585B" w14:textId="77777777" w:rsidR="009A5107" w:rsidRPr="0001362C" w:rsidRDefault="009A5107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1DF25AD3" w14:textId="77777777" w:rsidR="009A5107" w:rsidRPr="0001362C" w:rsidRDefault="009A5107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02428C63" w14:textId="1F2B1E6A" w:rsidR="009A5107" w:rsidRDefault="009A5107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543A8EDD" w14:textId="6587A3A0" w:rsidR="002F33A9" w:rsidRDefault="002F33A9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1F9D2E2F" w14:textId="6C017A9E" w:rsidR="002F33A9" w:rsidRDefault="002F33A9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0FC9EC6C" w14:textId="22AF0755" w:rsidR="002F33A9" w:rsidRDefault="002F33A9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FB90459" w14:textId="67E89436" w:rsidR="00DF45DB" w:rsidRDefault="00DF45DB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608AB933" w14:textId="77777777" w:rsidR="00DF45DB" w:rsidRDefault="00DF45DB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1A4AE9D8" w14:textId="77777777" w:rsidR="00154FC8" w:rsidRPr="0001362C" w:rsidRDefault="00154FC8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00499EE6" w14:textId="77777777" w:rsidR="00013222" w:rsidRPr="0001362C" w:rsidRDefault="00013222" w:rsidP="00E61B3F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4E106D28" w14:textId="22D3A879" w:rsidR="000E7ED7" w:rsidRPr="00B01F63" w:rsidRDefault="000E7ED7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B01F63">
        <w:rPr>
          <w:rFonts w:ascii="Museo Sans 300" w:hAnsi="Museo Sans 300" w:cstheme="minorHAnsi"/>
          <w:sz w:val="22"/>
          <w:szCs w:val="22"/>
          <w:lang w:val="es-MX"/>
        </w:rPr>
        <w:t xml:space="preserve">Tabla No. 1 Estructura de Ingresos Tributarios </w:t>
      </w:r>
      <w:r w:rsidR="00724E84" w:rsidRPr="00B01F63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 w:rsidRPr="00B01F63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B01F63">
        <w:rPr>
          <w:rFonts w:ascii="Museo Sans 300" w:hAnsi="Museo Sans 300" w:cstheme="minorHAnsi"/>
          <w:sz w:val="22"/>
          <w:szCs w:val="22"/>
          <w:lang w:val="es-MX"/>
        </w:rPr>
        <w:t xml:space="preserve"> 20</w:t>
      </w:r>
      <w:r w:rsidR="000A13D8" w:rsidRPr="00B01F63">
        <w:rPr>
          <w:rFonts w:ascii="Museo Sans 300" w:hAnsi="Museo Sans 300" w:cstheme="minorHAnsi"/>
          <w:sz w:val="22"/>
          <w:szCs w:val="22"/>
          <w:lang w:val="es-MX"/>
        </w:rPr>
        <w:t>20</w:t>
      </w:r>
      <w:r w:rsidRPr="00B01F63">
        <w:rPr>
          <w:rFonts w:ascii="Museo Sans 300" w:hAnsi="Museo Sans 300" w:cstheme="minorHAnsi"/>
          <w:sz w:val="22"/>
          <w:szCs w:val="22"/>
          <w:lang w:val="es-MX"/>
        </w:rPr>
        <w:t xml:space="preserve"> -202</w:t>
      </w:r>
      <w:r w:rsidR="00B6261C" w:rsidRPr="00B01F63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B01F63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67388467" w14:textId="2B989630" w:rsidR="005834CC" w:rsidRPr="00B01F63" w:rsidRDefault="000E7ED7" w:rsidP="00ED71FC">
      <w:pPr>
        <w:spacing w:after="240"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B01F63">
        <w:rPr>
          <w:rFonts w:ascii="Museo Sans 300" w:hAnsi="Museo Sans 300" w:cstheme="minorHAnsi"/>
          <w:sz w:val="22"/>
          <w:szCs w:val="22"/>
          <w:lang w:val="es-MX"/>
        </w:rPr>
        <w:t>(Millones de $, com</w:t>
      </w:r>
      <w:r w:rsidR="00ED71FC" w:rsidRPr="00B01F63">
        <w:rPr>
          <w:rFonts w:ascii="Museo Sans 300" w:hAnsi="Museo Sans 300" w:cstheme="minorHAnsi"/>
          <w:sz w:val="22"/>
          <w:szCs w:val="22"/>
          <w:lang w:val="es-MX"/>
        </w:rPr>
        <w:t>o % d</w:t>
      </w:r>
      <w:r w:rsidRPr="00B01F63">
        <w:rPr>
          <w:rFonts w:ascii="Museo Sans 300" w:hAnsi="Museo Sans 300" w:cstheme="minorHAnsi"/>
          <w:sz w:val="22"/>
          <w:szCs w:val="22"/>
          <w:lang w:val="es-MX"/>
        </w:rPr>
        <w:t>el total de ingresos y % del PIB).</w:t>
      </w:r>
    </w:p>
    <w:p w14:paraId="17C68CE0" w14:textId="7675661C" w:rsidR="00876BA9" w:rsidRDefault="00B01F63" w:rsidP="00ED71FC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>
        <w:rPr>
          <w:rFonts w:ascii="Museo Sans 300" w:hAnsi="Museo Sans 300" w:cstheme="minorHAnsi"/>
          <w:i/>
          <w:sz w:val="22"/>
          <w:szCs w:val="22"/>
          <w:lang w:val="es-MX"/>
        </w:rPr>
        <w:object w:dxaOrig="12220" w:dyaOrig="12373" w14:anchorId="7C2A8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468pt" o:ole="">
            <v:imagedata r:id="rId12" o:title=""/>
          </v:shape>
          <o:OLEObject Type="Embed" ProgID="Excel.Sheet.12" ShapeID="_x0000_i1025" DrawAspect="Content" ObjectID="_1828006722" r:id="rId13"/>
        </w:object>
      </w:r>
    </w:p>
    <w:p w14:paraId="3BFED1E1" w14:textId="78911F46" w:rsidR="00BD4433" w:rsidRPr="00CF2637" w:rsidRDefault="00F37E8D" w:rsidP="00CF2637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23" w:name="_Toc207711197"/>
      <w:r w:rsidRPr="00CF2637">
        <w:rPr>
          <w:rFonts w:ascii="Museo Sans 300" w:hAnsi="Museo Sans 300" w:cstheme="minorHAnsi"/>
          <w:szCs w:val="22"/>
          <w:lang w:val="es-MX"/>
        </w:rPr>
        <w:t>1.2</w:t>
      </w:r>
      <w:r w:rsidR="00BD4433" w:rsidRPr="00CF2637">
        <w:rPr>
          <w:rFonts w:ascii="Museo Sans 300" w:hAnsi="Museo Sans 300" w:cstheme="minorHAnsi"/>
          <w:szCs w:val="22"/>
          <w:lang w:val="es-MX"/>
        </w:rPr>
        <w:t xml:space="preserve"> R</w:t>
      </w:r>
      <w:hyperlink w:anchor="_bookmark10" w:history="1">
        <w:r w:rsidR="00BD4433" w:rsidRPr="00CF2637">
          <w:rPr>
            <w:rFonts w:ascii="Museo Sans 300" w:hAnsi="Museo Sans 300" w:cstheme="minorHAnsi"/>
            <w:szCs w:val="22"/>
            <w:lang w:val="es-MX"/>
          </w:rPr>
          <w:t>ecaudación por Cartera, Sector Económico y</w:t>
        </w:r>
      </w:hyperlink>
      <w:r w:rsidR="00BD4433" w:rsidRPr="00CF2637">
        <w:rPr>
          <w:rFonts w:ascii="Museo Sans 300" w:hAnsi="Museo Sans 300" w:cstheme="minorHAnsi"/>
          <w:szCs w:val="22"/>
          <w:lang w:val="es-MX"/>
        </w:rPr>
        <w:t xml:space="preserve"> por D</w:t>
      </w:r>
      <w:hyperlink w:anchor="_bookmark10" w:history="1">
        <w:r w:rsidR="00BD4433" w:rsidRPr="00CF2637">
          <w:rPr>
            <w:rFonts w:ascii="Museo Sans 300" w:hAnsi="Museo Sans 300" w:cstheme="minorHAnsi"/>
            <w:szCs w:val="22"/>
            <w:lang w:val="es-MX"/>
          </w:rPr>
          <w:t>epartamento</w:t>
        </w:r>
        <w:bookmarkEnd w:id="23"/>
      </w:hyperlink>
    </w:p>
    <w:p w14:paraId="4DEB1606" w14:textId="77777777" w:rsidR="00BD4433" w:rsidRPr="0017301F" w:rsidRDefault="00BD4433" w:rsidP="00BD4433">
      <w:pPr>
        <w:rPr>
          <w:rFonts w:ascii="Museo Sans 300" w:hAnsi="Museo Sans 300"/>
          <w:b/>
          <w:sz w:val="22"/>
          <w:szCs w:val="22"/>
          <w:lang w:val="es-MX"/>
        </w:rPr>
      </w:pPr>
      <w:bookmarkStart w:id="24" w:name="_Hlk128488384"/>
      <w:r w:rsidRPr="0017301F">
        <w:rPr>
          <w:rFonts w:ascii="Museo Sans 300" w:hAnsi="Museo Sans 300"/>
          <w:b/>
          <w:sz w:val="22"/>
          <w:szCs w:val="22"/>
          <w:lang w:val="es-MX"/>
        </w:rPr>
        <w:t>Recaudación según Cartera de Contribuyentes</w:t>
      </w:r>
    </w:p>
    <w:p w14:paraId="4EB8C510" w14:textId="77777777" w:rsidR="00BD4433" w:rsidRPr="00D62284" w:rsidRDefault="00BD4433" w:rsidP="00BD4433">
      <w:pPr>
        <w:pStyle w:val="Prrafodelista"/>
        <w:jc w:val="both"/>
        <w:rPr>
          <w:rFonts w:ascii="Museo Sans 300" w:hAnsi="Museo Sans 300"/>
          <w:sz w:val="22"/>
          <w:szCs w:val="22"/>
          <w:lang w:val="es-MX"/>
        </w:rPr>
      </w:pPr>
    </w:p>
    <w:p w14:paraId="216CCB55" w14:textId="36B00982" w:rsidR="00BD4433" w:rsidRDefault="00BD4433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De acuerdo con datos preliminares de la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Dirección General de Impuestos Internos (DGII),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la recaudación tributaria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por Cartera de Contribuyentes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muestra que los Grandes Contribuyentes </w:t>
      </w:r>
      <w:r w:rsidRPr="00D62284">
        <w:rPr>
          <w:rFonts w:ascii="Museo Sans 300" w:hAnsi="Museo Sans 300"/>
          <w:sz w:val="22"/>
          <w:szCs w:val="22"/>
          <w:lang w:val="es-MX"/>
        </w:rPr>
        <w:lastRenderedPageBreak/>
        <w:t>aportaron durante el período enero-</w:t>
      </w:r>
      <w:r w:rsidR="00E14E1F">
        <w:rPr>
          <w:rFonts w:ascii="Museo Sans 300" w:hAnsi="Museo Sans 300"/>
          <w:sz w:val="22"/>
          <w:szCs w:val="22"/>
          <w:lang w:val="es-MX"/>
        </w:rPr>
        <w:t>junio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202</w:t>
      </w:r>
      <w:r w:rsidR="00E14E1F">
        <w:rPr>
          <w:rFonts w:ascii="Museo Sans 300" w:hAnsi="Museo Sans 300"/>
          <w:sz w:val="22"/>
          <w:szCs w:val="22"/>
          <w:lang w:val="es-MX"/>
        </w:rPr>
        <w:t>5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un total de US$</w:t>
      </w:r>
      <w:r>
        <w:rPr>
          <w:rFonts w:ascii="Museo Sans 300" w:hAnsi="Museo Sans 300"/>
          <w:sz w:val="22"/>
          <w:szCs w:val="22"/>
          <w:lang w:val="es-MX"/>
        </w:rPr>
        <w:t>4,3</w:t>
      </w:r>
      <w:r w:rsidR="00E14E1F">
        <w:rPr>
          <w:rFonts w:ascii="Museo Sans 300" w:hAnsi="Museo Sans 300"/>
          <w:sz w:val="22"/>
          <w:szCs w:val="22"/>
          <w:lang w:val="es-MX"/>
        </w:rPr>
        <w:t>05.</w:t>
      </w:r>
      <w:r w:rsidR="005C0DD6">
        <w:rPr>
          <w:rFonts w:ascii="Museo Sans 300" w:hAnsi="Museo Sans 300"/>
          <w:sz w:val="22"/>
          <w:szCs w:val="22"/>
          <w:lang w:val="es-MX"/>
        </w:rPr>
        <w:t>8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 con un crecimiento de </w:t>
      </w:r>
      <w:r w:rsidR="00E14E1F">
        <w:rPr>
          <w:rFonts w:ascii="Museo Sans 300" w:hAnsi="Museo Sans 300"/>
          <w:sz w:val="22"/>
          <w:szCs w:val="22"/>
          <w:lang w:val="es-MX"/>
        </w:rPr>
        <w:t>7</w:t>
      </w:r>
      <w:r>
        <w:rPr>
          <w:rFonts w:ascii="Museo Sans 300" w:hAnsi="Museo Sans 300"/>
          <w:sz w:val="22"/>
          <w:szCs w:val="22"/>
          <w:lang w:val="es-MX"/>
        </w:rPr>
        <w:t>.7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% respecto al </w:t>
      </w:r>
      <w:r w:rsidR="00E14E1F">
        <w:rPr>
          <w:rFonts w:ascii="Museo Sans 300" w:hAnsi="Museo Sans 300"/>
          <w:sz w:val="22"/>
          <w:szCs w:val="22"/>
          <w:lang w:val="es-MX"/>
        </w:rPr>
        <w:t xml:space="preserve">período 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año anterior; los </w:t>
      </w:r>
      <w:r w:rsidR="00E14E1F">
        <w:rPr>
          <w:rFonts w:ascii="Museo Sans 300" w:hAnsi="Museo Sans 300"/>
          <w:sz w:val="22"/>
          <w:szCs w:val="22"/>
          <w:lang w:val="es-MX"/>
        </w:rPr>
        <w:t>grandes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Contribuyentes reportaron US$</w:t>
      </w:r>
      <w:r w:rsidR="00E14E1F">
        <w:rPr>
          <w:rFonts w:ascii="Museo Sans 300" w:hAnsi="Museo Sans 300"/>
          <w:sz w:val="22"/>
          <w:szCs w:val="22"/>
          <w:lang w:val="es-MX"/>
        </w:rPr>
        <w:t>2,463.2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millones, , registrando una variación anual de </w:t>
      </w:r>
      <w:r w:rsidR="00E14E1F">
        <w:rPr>
          <w:rFonts w:ascii="Museo Sans 300" w:hAnsi="Museo Sans 300"/>
          <w:sz w:val="22"/>
          <w:szCs w:val="22"/>
          <w:lang w:val="es-MX"/>
        </w:rPr>
        <w:t>2.7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% </w:t>
      </w:r>
      <w:r w:rsidR="00E14E1F">
        <w:rPr>
          <w:rFonts w:ascii="Museo Sans 300" w:hAnsi="Museo Sans 300"/>
          <w:sz w:val="22"/>
          <w:szCs w:val="22"/>
          <w:lang w:val="es-MX"/>
        </w:rPr>
        <w:t xml:space="preserve">los medianos contribuyentes </w:t>
      </w:r>
      <w:r w:rsidR="00E14E1F" w:rsidRPr="00D62284">
        <w:rPr>
          <w:rFonts w:ascii="Museo Sans 300" w:hAnsi="Museo Sans 300"/>
          <w:sz w:val="22"/>
          <w:szCs w:val="22"/>
          <w:lang w:val="es-MX"/>
        </w:rPr>
        <w:t>reportaron US$</w:t>
      </w:r>
      <w:r w:rsidR="00E14E1F">
        <w:rPr>
          <w:rFonts w:ascii="Museo Sans 300" w:hAnsi="Museo Sans 300"/>
          <w:sz w:val="22"/>
          <w:szCs w:val="22"/>
          <w:lang w:val="es-MX"/>
        </w:rPr>
        <w:t>733.3</w:t>
      </w:r>
      <w:r w:rsidR="00E14E1F" w:rsidRPr="00D62284">
        <w:rPr>
          <w:rFonts w:ascii="Museo Sans 300" w:hAnsi="Museo Sans 300"/>
          <w:sz w:val="22"/>
          <w:szCs w:val="22"/>
          <w:lang w:val="es-MX"/>
        </w:rPr>
        <w:t xml:space="preserve"> millones, registrando una variación anual de </w:t>
      </w:r>
      <w:r w:rsidR="00E14E1F">
        <w:rPr>
          <w:rFonts w:ascii="Museo Sans 300" w:hAnsi="Museo Sans 300"/>
          <w:sz w:val="22"/>
          <w:szCs w:val="22"/>
          <w:lang w:val="es-MX"/>
        </w:rPr>
        <w:t>6.2</w:t>
      </w:r>
      <w:r w:rsidR="00E14E1F" w:rsidRPr="00D62284">
        <w:rPr>
          <w:rFonts w:ascii="Museo Sans 300" w:hAnsi="Museo Sans 300"/>
          <w:sz w:val="22"/>
          <w:szCs w:val="22"/>
          <w:lang w:val="es-MX"/>
        </w:rPr>
        <w:t xml:space="preserve">% </w:t>
      </w:r>
      <w:r w:rsidRPr="00D62284">
        <w:rPr>
          <w:rFonts w:ascii="Museo Sans 300" w:hAnsi="Museo Sans 300"/>
          <w:sz w:val="22"/>
          <w:szCs w:val="22"/>
          <w:lang w:val="es-MX"/>
        </w:rPr>
        <w:t>y los Pequeños Contribuyentes aportaron al fisco un monto de US$1,</w:t>
      </w:r>
      <w:r w:rsidR="00E14E1F">
        <w:rPr>
          <w:rFonts w:ascii="Museo Sans 300" w:hAnsi="Museo Sans 300"/>
          <w:sz w:val="22"/>
          <w:szCs w:val="22"/>
          <w:lang w:val="es-MX"/>
        </w:rPr>
        <w:t xml:space="preserve">109.3 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millones, con un incremento de </w:t>
      </w:r>
      <w:r w:rsidR="00E14E1F">
        <w:rPr>
          <w:rFonts w:ascii="Museo Sans 300" w:hAnsi="Museo Sans 300"/>
          <w:sz w:val="22"/>
          <w:szCs w:val="22"/>
          <w:lang w:val="es-MX"/>
        </w:rPr>
        <w:t>21.8</w:t>
      </w:r>
      <w:r w:rsidRPr="00D62284">
        <w:rPr>
          <w:rFonts w:ascii="Museo Sans 300" w:hAnsi="Museo Sans 300"/>
          <w:sz w:val="22"/>
          <w:szCs w:val="22"/>
          <w:lang w:val="es-MX"/>
        </w:rPr>
        <w:t>%</w:t>
      </w:r>
      <w:r>
        <w:rPr>
          <w:rFonts w:ascii="Museo Sans 300" w:hAnsi="Museo Sans 300"/>
          <w:sz w:val="22"/>
          <w:szCs w:val="22"/>
          <w:lang w:val="es-MX"/>
        </w:rPr>
        <w:t xml:space="preserve"> de variación anual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. </w:t>
      </w:r>
    </w:p>
    <w:p w14:paraId="74E58FEA" w14:textId="77777777" w:rsidR="00E14E1F" w:rsidRPr="00E14E1F" w:rsidRDefault="00E14E1F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65C15185" w14:textId="59826015" w:rsidR="00BD4433" w:rsidRPr="00435C9A" w:rsidRDefault="00FD4912" w:rsidP="00F37E8D">
      <w:pPr>
        <w:spacing w:line="276" w:lineRule="auto"/>
        <w:jc w:val="center"/>
        <w:rPr>
          <w:rFonts w:ascii="Museo Sans 300" w:hAnsi="Museo Sans 300"/>
          <w:sz w:val="22"/>
          <w:szCs w:val="22"/>
          <w:lang w:val="es-ES"/>
        </w:rPr>
      </w:pPr>
      <w:r>
        <w:rPr>
          <w:rFonts w:ascii="Museo Sans 300" w:hAnsi="Museo Sans 300"/>
          <w:sz w:val="22"/>
          <w:szCs w:val="22"/>
          <w:lang w:val="es-ES"/>
        </w:rPr>
        <w:object w:dxaOrig="6685" w:dyaOrig="2634" w14:anchorId="04887F67">
          <v:shape id="_x0000_i1026" type="#_x0000_t75" style="width:334pt;height:131pt" o:ole="">
            <v:imagedata r:id="rId14" o:title=""/>
          </v:shape>
          <o:OLEObject Type="Embed" ProgID="Excel.Sheet.12" ShapeID="_x0000_i1026" DrawAspect="Content" ObjectID="_1828006723" r:id="rId15"/>
        </w:object>
      </w:r>
    </w:p>
    <w:p w14:paraId="44614CC2" w14:textId="77777777" w:rsidR="00BD4433" w:rsidRDefault="00BD4433" w:rsidP="00BD4433">
      <w:pPr>
        <w:jc w:val="both"/>
        <w:rPr>
          <w:rFonts w:ascii="Museo Sans 300" w:hAnsi="Museo Sans 300"/>
          <w:sz w:val="22"/>
          <w:szCs w:val="22"/>
          <w:highlight w:val="yellow"/>
          <w:lang w:val="es-MX"/>
        </w:rPr>
      </w:pPr>
    </w:p>
    <w:p w14:paraId="63CA8877" w14:textId="77777777" w:rsidR="00BD4433" w:rsidRPr="0017301F" w:rsidRDefault="00BD4433" w:rsidP="00BD4433">
      <w:pPr>
        <w:rPr>
          <w:rFonts w:ascii="Museo Sans 300" w:hAnsi="Museo Sans 300"/>
          <w:b/>
          <w:sz w:val="22"/>
          <w:szCs w:val="22"/>
          <w:lang w:val="es-MX"/>
        </w:rPr>
      </w:pPr>
      <w:bookmarkStart w:id="25" w:name="_Toc64531467"/>
      <w:r w:rsidRPr="0017301F">
        <w:rPr>
          <w:rFonts w:ascii="Museo Sans 300" w:hAnsi="Museo Sans 300"/>
          <w:b/>
          <w:sz w:val="22"/>
          <w:szCs w:val="22"/>
          <w:lang w:val="es-MX"/>
        </w:rPr>
        <w:t>Recaudación según Departamentos</w:t>
      </w:r>
      <w:bookmarkEnd w:id="25"/>
    </w:p>
    <w:p w14:paraId="6BE21CD6" w14:textId="77777777" w:rsidR="00BD4433" w:rsidRPr="00D62284" w:rsidRDefault="00BD4433" w:rsidP="00BD4433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05F49A6E" w14:textId="710C2765" w:rsidR="00EA3731" w:rsidRDefault="00EA3731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EA3731">
        <w:rPr>
          <w:rFonts w:ascii="Museo Sans 300" w:hAnsi="Museo Sans 300"/>
          <w:sz w:val="22"/>
          <w:szCs w:val="22"/>
          <w:lang w:val="es-MX"/>
        </w:rPr>
        <w:t>Así mismo, al realizar el análisis de la recaudación del mes de junio por Departamento, se percibe que el 88.9% de los Ingresos Tributarios son generados por los contribuyentes ubicados en los departamentos de San Salvador y La Libertad, con una participación del 57.7% y 31.2% respectivamente, además, San Salvador reporta el mayor incremento nominal, acumulando $34.1 millones, favoreciendo el desempeño recaudatorio y por ende generando el resultado positivo respecto al año anterior, de igual manera La Libertad con $11.8 millones de dólares adicionales, contribuyen con el crecimiento del año 2025 respecto al año anterior.</w:t>
      </w:r>
    </w:p>
    <w:p w14:paraId="30FCCDAA" w14:textId="77777777" w:rsidR="00BD4433" w:rsidRDefault="00BD4433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50E6F8BE" w14:textId="77777777" w:rsidR="00BD4433" w:rsidRPr="0017301F" w:rsidRDefault="00BD4433" w:rsidP="00BD4433">
      <w:pPr>
        <w:rPr>
          <w:rFonts w:ascii="Museo Sans 300" w:hAnsi="Museo Sans 300"/>
          <w:b/>
          <w:sz w:val="22"/>
          <w:szCs w:val="22"/>
          <w:lang w:val="es-MX"/>
        </w:rPr>
      </w:pPr>
      <w:bookmarkStart w:id="26" w:name="_Toc64531468"/>
      <w:r w:rsidRPr="0017301F">
        <w:rPr>
          <w:rFonts w:ascii="Museo Sans 300" w:hAnsi="Museo Sans 300"/>
          <w:b/>
          <w:sz w:val="22"/>
          <w:szCs w:val="22"/>
          <w:lang w:val="es-MX"/>
        </w:rPr>
        <w:t>Según Sector Económico.</w:t>
      </w:r>
      <w:bookmarkEnd w:id="26"/>
    </w:p>
    <w:p w14:paraId="47E16C23" w14:textId="77777777" w:rsidR="00BD4433" w:rsidRPr="00D62284" w:rsidRDefault="00BD4433" w:rsidP="00BD4433">
      <w:pPr>
        <w:jc w:val="both"/>
        <w:rPr>
          <w:rFonts w:ascii="Museo Sans 300" w:hAnsi="Museo Sans 300"/>
          <w:sz w:val="22"/>
          <w:szCs w:val="22"/>
          <w:highlight w:val="yellow"/>
          <w:lang w:val="es-MX"/>
        </w:rPr>
      </w:pPr>
    </w:p>
    <w:p w14:paraId="2DFE4FC3" w14:textId="471193C1" w:rsidR="00BD4433" w:rsidRPr="00D62284" w:rsidRDefault="00BD4433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En cuanto a la recaudación </w:t>
      </w:r>
      <w:r w:rsidRPr="001640B2">
        <w:rPr>
          <w:rFonts w:ascii="Museo Sans 300" w:hAnsi="Museo Sans 300"/>
          <w:sz w:val="22"/>
          <w:szCs w:val="22"/>
          <w:lang w:val="es-MX"/>
        </w:rPr>
        <w:t>por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sector económico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, al analizar los resultados, los sectores con mayor peso en la recaudación son los siguientes: Comercio al por mayor y al por menor; Industria Manufacturera y Actividades Financieras y de Seguros, estos </w:t>
      </w:r>
      <w:r>
        <w:rPr>
          <w:rFonts w:ascii="Museo Sans 300" w:hAnsi="Museo Sans 300"/>
          <w:sz w:val="22"/>
          <w:szCs w:val="22"/>
          <w:lang w:val="es-MX"/>
        </w:rPr>
        <w:t xml:space="preserve">en conjunto </w:t>
      </w:r>
      <w:r w:rsidRPr="00D62284">
        <w:rPr>
          <w:rFonts w:ascii="Museo Sans 300" w:hAnsi="Museo Sans 300"/>
          <w:sz w:val="22"/>
          <w:szCs w:val="22"/>
          <w:lang w:val="es-MX"/>
        </w:rPr>
        <w:t>han aportado el 6</w:t>
      </w:r>
      <w:r w:rsidR="00C27158">
        <w:rPr>
          <w:rFonts w:ascii="Museo Sans 300" w:hAnsi="Museo Sans 300"/>
          <w:sz w:val="22"/>
          <w:szCs w:val="22"/>
          <w:lang w:val="es-MX"/>
        </w:rPr>
        <w:t>1.0%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del total recaudado.</w:t>
      </w:r>
    </w:p>
    <w:bookmarkEnd w:id="24"/>
    <w:p w14:paraId="1046A58A" w14:textId="77777777" w:rsidR="00BD4433" w:rsidRPr="00D62284" w:rsidRDefault="00BD4433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01494D5E" w14:textId="6A263BEB" w:rsidR="00BD4433" w:rsidRPr="00D62284" w:rsidRDefault="00BD4433" w:rsidP="00BD4433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>Según el informe de la DGII, el comercio al por mayor y al por menor mostraron un mayor monto de recaudación, totalizando US$</w:t>
      </w:r>
      <w:r w:rsidR="00CB77AD">
        <w:rPr>
          <w:rFonts w:ascii="Museo Sans 300" w:hAnsi="Museo Sans 300"/>
          <w:sz w:val="22"/>
          <w:szCs w:val="22"/>
          <w:lang w:val="es-MX"/>
        </w:rPr>
        <w:t>1,503</w:t>
      </w:r>
      <w:r w:rsidR="00C27158">
        <w:rPr>
          <w:rFonts w:ascii="Museo Sans 300" w:hAnsi="Museo Sans 300"/>
          <w:sz w:val="22"/>
          <w:szCs w:val="22"/>
          <w:lang w:val="es-MX"/>
        </w:rPr>
        <w:t>.9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 con un incremento anual de $</w:t>
      </w:r>
      <w:r w:rsidR="00C27158">
        <w:rPr>
          <w:rFonts w:ascii="Museo Sans 300" w:hAnsi="Museo Sans 300"/>
          <w:sz w:val="22"/>
          <w:szCs w:val="22"/>
          <w:lang w:val="es-MX"/>
        </w:rPr>
        <w:t>88.4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 (</w:t>
      </w:r>
      <w:r w:rsidR="00C27158">
        <w:rPr>
          <w:rFonts w:ascii="Museo Sans 300" w:hAnsi="Museo Sans 300"/>
          <w:sz w:val="22"/>
          <w:szCs w:val="22"/>
          <w:lang w:val="es-MX"/>
        </w:rPr>
        <w:t>5.9</w:t>
      </w:r>
      <w:r w:rsidRPr="00D62284">
        <w:rPr>
          <w:rFonts w:ascii="Museo Sans 300" w:hAnsi="Museo Sans 300"/>
          <w:sz w:val="22"/>
          <w:szCs w:val="22"/>
          <w:lang w:val="es-MX"/>
        </w:rPr>
        <w:t>%); Industrias Manufactureras es el segundo sector en importancia por su aporte en la recaudación la cual alcanzó US$</w:t>
      </w:r>
      <w:r w:rsidR="00C27158">
        <w:rPr>
          <w:rFonts w:ascii="Museo Sans 300" w:hAnsi="Museo Sans 300"/>
          <w:sz w:val="22"/>
          <w:szCs w:val="22"/>
          <w:lang w:val="es-MX"/>
        </w:rPr>
        <w:t>681.4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millones, con una variación de </w:t>
      </w:r>
      <w:r>
        <w:rPr>
          <w:rFonts w:ascii="Museo Sans 300" w:hAnsi="Museo Sans 300"/>
          <w:sz w:val="22"/>
          <w:szCs w:val="22"/>
          <w:lang w:val="es-MX"/>
        </w:rPr>
        <w:t>6.</w:t>
      </w:r>
      <w:r w:rsidR="00C27158">
        <w:rPr>
          <w:rFonts w:ascii="Museo Sans 300" w:hAnsi="Museo Sans 300"/>
          <w:sz w:val="22"/>
          <w:szCs w:val="22"/>
          <w:lang w:val="es-MX"/>
        </w:rPr>
        <w:t>1</w:t>
      </w:r>
      <w:r w:rsidRPr="00D62284">
        <w:rPr>
          <w:rFonts w:ascii="Museo Sans 300" w:hAnsi="Museo Sans 300"/>
          <w:sz w:val="22"/>
          <w:szCs w:val="22"/>
          <w:lang w:val="es-MX"/>
        </w:rPr>
        <w:t>% y el tercer sector con mayor recaudación fueron las Actividades Financieras y de Seguros, con US$</w:t>
      </w:r>
      <w:r w:rsidR="00C27158">
        <w:rPr>
          <w:rFonts w:ascii="Museo Sans 300" w:hAnsi="Museo Sans 300"/>
          <w:sz w:val="22"/>
          <w:szCs w:val="22"/>
          <w:lang w:val="es-MX"/>
        </w:rPr>
        <w:t>439.7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millones, siendo mayor con relación al año anterior en </w:t>
      </w:r>
      <w:r w:rsidR="00C27158">
        <w:rPr>
          <w:rFonts w:ascii="Museo Sans 300" w:hAnsi="Museo Sans 300"/>
          <w:sz w:val="22"/>
          <w:szCs w:val="22"/>
          <w:lang w:val="es-MX"/>
        </w:rPr>
        <w:t>4.3</w:t>
      </w:r>
      <w:r w:rsidRPr="00D62284">
        <w:rPr>
          <w:rFonts w:ascii="Museo Sans 300" w:hAnsi="Museo Sans 300"/>
          <w:sz w:val="22"/>
          <w:szCs w:val="22"/>
          <w:lang w:val="es-MX"/>
        </w:rPr>
        <w:t>%.</w:t>
      </w:r>
    </w:p>
    <w:p w14:paraId="52A86705" w14:textId="632544A2" w:rsidR="00C00863" w:rsidRDefault="00C00863">
      <w:pPr>
        <w:spacing w:after="160" w:line="259" w:lineRule="auto"/>
        <w:rPr>
          <w:rFonts w:ascii="Museo Sans 300" w:hAnsi="Museo Sans 300" w:cstheme="minorHAnsi"/>
          <w:i/>
          <w:sz w:val="22"/>
          <w:szCs w:val="22"/>
          <w:lang w:val="es-MX"/>
        </w:rPr>
      </w:pPr>
      <w:r>
        <w:rPr>
          <w:rFonts w:ascii="Museo Sans 300" w:hAnsi="Museo Sans 300" w:cstheme="minorHAnsi"/>
          <w:i/>
          <w:sz w:val="22"/>
          <w:szCs w:val="22"/>
          <w:lang w:val="es-MX"/>
        </w:rPr>
        <w:br w:type="page"/>
      </w:r>
    </w:p>
    <w:p w14:paraId="5C4F3A8A" w14:textId="34721899" w:rsidR="000E7ED7" w:rsidRPr="00CF2637" w:rsidRDefault="0001362C" w:rsidP="00CF2637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27" w:name="_Toc205819459"/>
      <w:bookmarkStart w:id="28" w:name="_Toc308681664"/>
      <w:bookmarkStart w:id="29" w:name="_Toc319049210"/>
      <w:bookmarkStart w:id="30" w:name="_Toc411843462"/>
      <w:bookmarkStart w:id="31" w:name="_Toc56581207"/>
      <w:bookmarkStart w:id="32" w:name="_Toc169162410"/>
      <w:bookmarkStart w:id="33" w:name="_Toc207711198"/>
      <w:bookmarkEnd w:id="27"/>
      <w:r w:rsidRPr="00CF2637">
        <w:rPr>
          <w:rFonts w:ascii="Museo Sans 300" w:hAnsi="Museo Sans 300" w:cstheme="minorHAnsi"/>
          <w:szCs w:val="22"/>
          <w:lang w:val="es-MX"/>
        </w:rPr>
        <w:lastRenderedPageBreak/>
        <w:t>1</w:t>
      </w:r>
      <w:r w:rsidR="000E7ED7" w:rsidRPr="00CF2637">
        <w:rPr>
          <w:rFonts w:ascii="Museo Sans 300" w:hAnsi="Museo Sans 300" w:cstheme="minorHAnsi"/>
          <w:szCs w:val="22"/>
          <w:lang w:val="es-MX"/>
        </w:rPr>
        <w:t>.</w:t>
      </w:r>
      <w:r w:rsidR="00A22B80" w:rsidRPr="00CF2637">
        <w:rPr>
          <w:rFonts w:ascii="Museo Sans 300" w:hAnsi="Museo Sans 300" w:cstheme="minorHAnsi"/>
          <w:szCs w:val="22"/>
          <w:lang w:val="es-MX"/>
        </w:rPr>
        <w:t>3</w:t>
      </w:r>
      <w:r w:rsidR="000E7ED7" w:rsidRPr="00CF2637">
        <w:rPr>
          <w:rFonts w:ascii="Museo Sans 300" w:hAnsi="Museo Sans 300" w:cstheme="minorHAnsi"/>
          <w:szCs w:val="22"/>
          <w:lang w:val="es-MX"/>
        </w:rPr>
        <w:t xml:space="preserve"> Ingresos no Tributarios</w:t>
      </w:r>
      <w:bookmarkEnd w:id="28"/>
      <w:bookmarkEnd w:id="29"/>
      <w:bookmarkEnd w:id="30"/>
      <w:bookmarkEnd w:id="31"/>
      <w:bookmarkEnd w:id="32"/>
      <w:bookmarkEnd w:id="33"/>
    </w:p>
    <w:p w14:paraId="18266A12" w14:textId="77777777" w:rsidR="00A22B80" w:rsidRPr="00A22B80" w:rsidRDefault="00A22B80" w:rsidP="00A22B80"/>
    <w:p w14:paraId="6685B40B" w14:textId="556D991A" w:rsidR="009225FE" w:rsidRPr="0001362C" w:rsidRDefault="000E7ED7" w:rsidP="00055C62">
      <w:pPr>
        <w:tabs>
          <w:tab w:val="left" w:pos="0"/>
          <w:tab w:val="left" w:pos="9214"/>
        </w:tabs>
        <w:autoSpaceDE w:val="0"/>
        <w:autoSpaceDN w:val="0"/>
        <w:adjustRightInd w:val="0"/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Los ingresos no tributarios a nivel de SPNF registraron un monto de 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640.7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</w:t>
      </w:r>
      <w:r w:rsidR="0048628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con un aumento de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$</w:t>
      </w:r>
      <w:r w:rsidR="00D2590D">
        <w:rPr>
          <w:rFonts w:ascii="Museo Sans 300" w:hAnsi="Museo Sans 300" w:cstheme="minorHAnsi"/>
          <w:sz w:val="22"/>
          <w:szCs w:val="22"/>
          <w:lang w:val="es-MX"/>
        </w:rPr>
        <w:t>46.5</w:t>
      </w:r>
      <w:r w:rsidR="0048628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millones en relación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, </w:t>
      </w:r>
      <w:bookmarkStart w:id="34" w:name="_Hlk190351482"/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reflejado en los subsectores del </w:t>
      </w:r>
      <w:r w:rsidRPr="0001362C">
        <w:rPr>
          <w:rFonts w:ascii="Museo Sans 300" w:hAnsi="Museo Sans 300" w:cstheme="minorHAnsi"/>
          <w:iCs/>
          <w:sz w:val="22"/>
          <w:szCs w:val="22"/>
        </w:rPr>
        <w:t>Gobierno Central</w:t>
      </w:r>
      <w:r w:rsidR="00486288" w:rsidRPr="0001362C">
        <w:rPr>
          <w:rFonts w:ascii="Museo Sans 300" w:hAnsi="Museo Sans 300" w:cstheme="minorHAnsi"/>
          <w:iCs/>
          <w:sz w:val="22"/>
          <w:szCs w:val="22"/>
        </w:rPr>
        <w:t>,</w:t>
      </w:r>
      <w:r w:rsidR="007A1A06" w:rsidRPr="0001362C">
        <w:rPr>
          <w:rFonts w:ascii="Museo Sans 300" w:hAnsi="Museo Sans 300" w:cstheme="minorHAnsi"/>
          <w:iCs/>
          <w:sz w:val="22"/>
          <w:szCs w:val="22"/>
        </w:rPr>
        <w:t xml:space="preserve"> </w:t>
      </w:r>
      <w:r w:rsidR="00486288" w:rsidRPr="0001362C">
        <w:rPr>
          <w:rFonts w:ascii="Museo Sans 300" w:hAnsi="Museo Sans 300" w:cstheme="minorHAnsi"/>
          <w:iCs/>
          <w:sz w:val="22"/>
          <w:szCs w:val="22"/>
        </w:rPr>
        <w:t>$</w:t>
      </w:r>
      <w:r w:rsidR="00D2590D">
        <w:rPr>
          <w:rFonts w:ascii="Museo Sans 300" w:hAnsi="Museo Sans 300" w:cstheme="minorHAnsi"/>
          <w:iCs/>
          <w:sz w:val="22"/>
          <w:szCs w:val="22"/>
        </w:rPr>
        <w:t>23.7</w:t>
      </w:r>
      <w:r w:rsidR="00486288" w:rsidRPr="0001362C">
        <w:rPr>
          <w:rFonts w:ascii="Museo Sans 300" w:hAnsi="Museo Sans 300" w:cstheme="minorHAnsi"/>
          <w:iCs/>
          <w:sz w:val="22"/>
          <w:szCs w:val="22"/>
        </w:rPr>
        <w:t xml:space="preserve"> millones;</w:t>
      </w:r>
      <w:r w:rsidRPr="0001362C">
        <w:rPr>
          <w:rFonts w:ascii="Museo Sans 300" w:hAnsi="Museo Sans 300" w:cstheme="minorHAnsi"/>
          <w:iCs/>
          <w:sz w:val="22"/>
          <w:szCs w:val="22"/>
        </w:rPr>
        <w:t xml:space="preserve"> </w:t>
      </w:r>
      <w:r w:rsidR="00486288" w:rsidRPr="0001362C">
        <w:rPr>
          <w:rFonts w:ascii="Museo Sans 300" w:hAnsi="Museo Sans 300" w:cstheme="minorHAnsi"/>
          <w:iCs/>
          <w:sz w:val="22"/>
          <w:szCs w:val="22"/>
          <w:lang w:val="es-419"/>
        </w:rPr>
        <w:t>Resto del Gobierno General, $</w:t>
      </w:r>
      <w:r w:rsidR="00D2590D">
        <w:rPr>
          <w:rFonts w:ascii="Museo Sans 300" w:hAnsi="Museo Sans 300" w:cstheme="minorHAnsi"/>
          <w:iCs/>
          <w:sz w:val="22"/>
          <w:szCs w:val="22"/>
          <w:lang w:val="es-419"/>
        </w:rPr>
        <w:t>16.1</w:t>
      </w:r>
      <w:r w:rsidR="00486288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 </w:t>
      </w:r>
      <w:r w:rsidR="00232A56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y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las Empresas Públicas no Financieras, </w:t>
      </w:r>
      <w:r w:rsidRPr="0001362C">
        <w:rPr>
          <w:rFonts w:ascii="Museo Sans 300" w:hAnsi="Museo Sans 300" w:cstheme="minorHAnsi"/>
          <w:iCs/>
          <w:sz w:val="22"/>
          <w:szCs w:val="22"/>
        </w:rPr>
        <w:t xml:space="preserve">con </w:t>
      </w:r>
      <w:r w:rsidR="00474B1F" w:rsidRPr="0001362C">
        <w:rPr>
          <w:rFonts w:ascii="Museo Sans 300" w:hAnsi="Museo Sans 300" w:cstheme="minorHAnsi"/>
          <w:iCs/>
          <w:sz w:val="22"/>
          <w:szCs w:val="22"/>
        </w:rPr>
        <w:t xml:space="preserve">un crecimiento de </w:t>
      </w:r>
      <w:r w:rsidRPr="0001362C">
        <w:rPr>
          <w:rFonts w:ascii="Museo Sans 300" w:hAnsi="Museo Sans 300" w:cstheme="minorHAnsi"/>
          <w:iCs/>
          <w:sz w:val="22"/>
          <w:szCs w:val="22"/>
        </w:rPr>
        <w:t>$</w:t>
      </w:r>
      <w:r w:rsidR="00D2590D">
        <w:rPr>
          <w:rFonts w:ascii="Museo Sans 300" w:hAnsi="Museo Sans 300" w:cstheme="minorHAnsi"/>
          <w:iCs/>
          <w:sz w:val="22"/>
          <w:szCs w:val="22"/>
        </w:rPr>
        <w:t>6.7</w:t>
      </w:r>
      <w:r w:rsidRPr="0001362C">
        <w:rPr>
          <w:rFonts w:ascii="Museo Sans 300" w:hAnsi="Museo Sans 300" w:cstheme="minorHAnsi"/>
          <w:iCs/>
          <w:sz w:val="22"/>
          <w:szCs w:val="22"/>
        </w:rPr>
        <w:t xml:space="preserve"> millones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, respectivamente</w:t>
      </w:r>
      <w:bookmarkEnd w:id="34"/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. </w:t>
      </w:r>
    </w:p>
    <w:p w14:paraId="2F5F4FF8" w14:textId="77777777" w:rsidR="00DC052D" w:rsidRPr="0001362C" w:rsidRDefault="00DC052D" w:rsidP="00E61B3F">
      <w:pPr>
        <w:spacing w:line="276" w:lineRule="auto"/>
        <w:ind w:right="-32"/>
        <w:jc w:val="both"/>
        <w:rPr>
          <w:rFonts w:ascii="Museo Sans 300" w:hAnsi="Museo Sans 300" w:cstheme="minorHAnsi"/>
          <w:noProof/>
          <w:sz w:val="22"/>
          <w:szCs w:val="22"/>
          <w:lang w:val="es-SV"/>
        </w:rPr>
      </w:pPr>
    </w:p>
    <w:p w14:paraId="768B974F" w14:textId="758E51C6" w:rsidR="000E7ED7" w:rsidRPr="0001362C" w:rsidRDefault="00C953B7" w:rsidP="00055C62">
      <w:pPr>
        <w:pStyle w:val="Ttulo2"/>
        <w:spacing w:after="240"/>
        <w:rPr>
          <w:rFonts w:ascii="Museo Sans 300" w:hAnsi="Museo Sans 300" w:cstheme="minorHAnsi"/>
          <w:b w:val="0"/>
          <w:szCs w:val="22"/>
          <w:lang w:val="es-MX"/>
        </w:rPr>
      </w:pPr>
      <w:bookmarkStart w:id="35" w:name="_Toc207711199"/>
      <w:r w:rsidRPr="0001362C">
        <w:rPr>
          <w:rFonts w:ascii="Museo Sans 300" w:hAnsi="Museo Sans 300" w:cstheme="minorHAnsi"/>
          <w:szCs w:val="22"/>
          <w:lang w:val="es-MX"/>
        </w:rPr>
        <w:t>2.</w:t>
      </w:r>
      <w:r w:rsidR="000E7ED7" w:rsidRPr="0001362C">
        <w:rPr>
          <w:rFonts w:ascii="Museo Sans 300" w:hAnsi="Museo Sans 300" w:cstheme="minorHAnsi"/>
          <w:szCs w:val="22"/>
          <w:lang w:val="es-MX"/>
        </w:rPr>
        <w:t xml:space="preserve"> </w:t>
      </w:r>
      <w:bookmarkStart w:id="36" w:name="_Hlk128489558"/>
      <w:r w:rsidR="000E7ED7" w:rsidRPr="0001362C">
        <w:rPr>
          <w:rFonts w:ascii="Museo Sans 300" w:hAnsi="Museo Sans 300" w:cstheme="minorHAnsi"/>
          <w:szCs w:val="22"/>
          <w:lang w:val="es-MX"/>
        </w:rPr>
        <w:t xml:space="preserve">Gastos del Sector Público No Financiero </w:t>
      </w:r>
      <w:r w:rsidR="008E439C" w:rsidRPr="0001362C">
        <w:rPr>
          <w:rStyle w:val="Refdenotaalpie"/>
          <w:rFonts w:ascii="Museo Sans 300" w:hAnsi="Museo Sans 300" w:cstheme="minorHAnsi"/>
          <w:szCs w:val="22"/>
          <w:lang w:val="es-MX"/>
        </w:rPr>
        <w:footnoteReference w:id="2"/>
      </w:r>
      <w:bookmarkEnd w:id="35"/>
    </w:p>
    <w:p w14:paraId="6438B712" w14:textId="1683E2C7" w:rsidR="00721F73" w:rsidRPr="0001362C" w:rsidRDefault="000E7ED7" w:rsidP="007C00E1">
      <w:pPr>
        <w:spacing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  <w:bookmarkStart w:id="37" w:name="_Hlk190435757"/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La ejecución del gasto total del SPNF al mes de </w:t>
      </w:r>
      <w:r w:rsidR="00145AA8">
        <w:rPr>
          <w:rFonts w:ascii="Museo Sans 300" w:hAnsi="Museo Sans 300" w:cstheme="minorHAnsi"/>
          <w:iCs/>
          <w:sz w:val="22"/>
          <w:szCs w:val="22"/>
          <w:lang w:val="es-MX"/>
        </w:rPr>
        <w:t>junio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de 202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ascendió a $</w:t>
      </w:r>
      <w:r w:rsidR="00D2590D">
        <w:rPr>
          <w:rFonts w:ascii="Museo Sans 300" w:hAnsi="Museo Sans 300" w:cstheme="minorHAnsi"/>
          <w:iCs/>
          <w:sz w:val="22"/>
          <w:szCs w:val="22"/>
          <w:lang w:val="es-MX"/>
        </w:rPr>
        <w:t>5,530.2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millones, con un</w:t>
      </w:r>
      <w:r w:rsidR="00D2590D">
        <w:rPr>
          <w:rFonts w:ascii="Museo Sans 300" w:hAnsi="Museo Sans 300" w:cstheme="minorHAnsi"/>
          <w:iCs/>
          <w:sz w:val="22"/>
          <w:szCs w:val="22"/>
          <w:lang w:val="es-MX"/>
        </w:rPr>
        <w:t xml:space="preserve"> aumento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de $</w:t>
      </w:r>
      <w:r w:rsidR="00D2590D">
        <w:rPr>
          <w:rFonts w:ascii="Museo Sans 300" w:hAnsi="Museo Sans 300" w:cstheme="minorHAnsi"/>
          <w:iCs/>
          <w:sz w:val="22"/>
          <w:szCs w:val="22"/>
          <w:lang w:val="es-MX"/>
        </w:rPr>
        <w:t>355.2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 con respecto al </w:t>
      </w:r>
      <w:r w:rsidR="00B6261C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mismo mes del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año anterior</w:t>
      </w:r>
      <w:r w:rsidR="00163432" w:rsidRPr="00163432">
        <w:rPr>
          <w:rFonts w:ascii="Museo Sans 100" w:hAnsi="Museo Sans 100" w:cs="Arial"/>
          <w:i/>
          <w:iCs/>
          <w:sz w:val="22"/>
          <w:szCs w:val="22"/>
        </w:rPr>
        <w:t xml:space="preserve"> </w:t>
      </w:r>
      <w:r w:rsidR="00163432" w:rsidRPr="00163432">
        <w:rPr>
          <w:rFonts w:ascii="Museo Sans 300" w:hAnsi="Museo Sans 300" w:cstheme="minorHAnsi"/>
          <w:iCs/>
          <w:sz w:val="22"/>
          <w:szCs w:val="22"/>
          <w:lang w:val="es-MX"/>
        </w:rPr>
        <w:t>resultado responde principalmente a aumentos en mayor proporción en el gasto de capital, con relación al incremento mostrado en los gastos corrientes</w:t>
      </w:r>
      <w:r w:rsidR="00163432">
        <w:rPr>
          <w:rFonts w:ascii="Museo Sans 100" w:hAnsi="Museo Sans 100" w:cs="Arial"/>
          <w:i/>
          <w:iCs/>
          <w:sz w:val="22"/>
          <w:szCs w:val="22"/>
        </w:rPr>
        <w:t>.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Los gastos totales representaron en términos del PIB, un </w:t>
      </w:r>
      <w:r w:rsidR="00D2590D">
        <w:rPr>
          <w:rFonts w:ascii="Museo Sans 300" w:hAnsi="Museo Sans 300" w:cstheme="minorHAnsi"/>
          <w:iCs/>
          <w:sz w:val="22"/>
          <w:szCs w:val="22"/>
          <w:lang w:val="es-MX"/>
        </w:rPr>
        <w:t>15.1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%, </w:t>
      </w:r>
      <w:r w:rsidR="00D2590D">
        <w:rPr>
          <w:rFonts w:ascii="Museo Sans 300" w:hAnsi="Museo Sans 300" w:cstheme="minorHAnsi"/>
          <w:iCs/>
          <w:sz w:val="22"/>
          <w:szCs w:val="22"/>
          <w:lang w:val="es-MX"/>
        </w:rPr>
        <w:t>aumentando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en </w:t>
      </w:r>
      <w:r w:rsidR="00232A56" w:rsidRPr="0001362C">
        <w:rPr>
          <w:rFonts w:ascii="Museo Sans 300" w:hAnsi="Museo Sans 300" w:cstheme="minorHAnsi"/>
          <w:iCs/>
          <w:sz w:val="22"/>
          <w:szCs w:val="22"/>
          <w:lang w:val="es-MX"/>
        </w:rPr>
        <w:t>0.5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puntos porcentuales con respecto </w:t>
      </w:r>
      <w:r w:rsidR="00724E84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Cs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.</w:t>
      </w:r>
      <w:bookmarkEnd w:id="36"/>
      <w:bookmarkEnd w:id="37"/>
    </w:p>
    <w:p w14:paraId="6ED413AA" w14:textId="77777777" w:rsidR="007C00E1" w:rsidRPr="0001362C" w:rsidRDefault="007C00E1" w:rsidP="007C00E1">
      <w:pPr>
        <w:spacing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</w:p>
    <w:p w14:paraId="590350B3" w14:textId="3F3E4725" w:rsidR="000E7ED7" w:rsidRPr="0001362C" w:rsidRDefault="000E7ED7" w:rsidP="00055C62">
      <w:pPr>
        <w:spacing w:after="240"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4: Evolución del Gasto Público Total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FF42D1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</w:t>
      </w:r>
    </w:p>
    <w:p w14:paraId="6F3BCB40" w14:textId="42E392BF" w:rsidR="000E7ED7" w:rsidRPr="0001362C" w:rsidRDefault="00EB5D16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2F8188B2" wp14:editId="0D3D7A27">
            <wp:extent cx="5148000" cy="2887200"/>
            <wp:effectExtent l="0" t="0" r="14605" b="889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21429C" w14:textId="511805C7" w:rsidR="000E7ED7" w:rsidRPr="0001362C" w:rsidRDefault="000E7ED7" w:rsidP="007C00E1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38" w:name="_Toc411843465"/>
      <w:bookmarkStart w:id="39" w:name="_Toc56581211"/>
      <w:bookmarkStart w:id="40" w:name="_Toc169162414"/>
      <w:bookmarkStart w:id="41" w:name="_Toc207711200"/>
      <w:r w:rsidRPr="0001362C">
        <w:rPr>
          <w:rFonts w:ascii="Museo Sans 300" w:hAnsi="Museo Sans 300" w:cstheme="minorHAnsi"/>
          <w:szCs w:val="22"/>
          <w:lang w:val="es-MX"/>
        </w:rPr>
        <w:t>2.1 Gastos corrientes</w:t>
      </w:r>
      <w:bookmarkEnd w:id="38"/>
      <w:bookmarkEnd w:id="39"/>
      <w:bookmarkEnd w:id="40"/>
      <w:bookmarkEnd w:id="41"/>
    </w:p>
    <w:p w14:paraId="29052C92" w14:textId="36310711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  <w:bookmarkStart w:id="42" w:name="_Hlk190435963"/>
      <w:bookmarkStart w:id="43" w:name="_Hlk128489576"/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Los gastos corrientes del SPNF registraron un monto 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4,692.5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millones, mostrando un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 xml:space="preserve"> aumento</w:t>
      </w:r>
      <w:r w:rsidR="00403B4D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anual de 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2.4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%, observado principalmente en los rubros de 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 xml:space="preserve">bienes y servicios, </w:t>
      </w:r>
      <w:r w:rsidR="00403B4D" w:rsidRPr="0001362C">
        <w:rPr>
          <w:rFonts w:ascii="Museo Sans 300" w:hAnsi="Museo Sans 300" w:cstheme="minorHAnsi"/>
          <w:iCs/>
          <w:sz w:val="22"/>
          <w:szCs w:val="22"/>
          <w:lang w:val="es-MX"/>
        </w:rPr>
        <w:t>intereses de la deuda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 xml:space="preserve"> y transferencias corrientes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. Como porcentaje del PIB el gasto corriente </w:t>
      </w:r>
      <w:r w:rsidR="00677617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equivale a 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12.8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%, registrando un</w:t>
      </w:r>
      <w:r w:rsidR="00403B4D" w:rsidRPr="0001362C">
        <w:rPr>
          <w:rFonts w:ascii="Museo Sans 300" w:hAnsi="Museo Sans 300" w:cstheme="minorHAnsi"/>
          <w:iCs/>
          <w:sz w:val="22"/>
          <w:szCs w:val="22"/>
          <w:lang w:val="es-MX"/>
        </w:rPr>
        <w:t>a disminución de 0.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2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puntos porcentuales con respecto al mismo período del año anterior.</w:t>
      </w:r>
    </w:p>
    <w:bookmarkEnd w:id="42"/>
    <w:p w14:paraId="468BA4F8" w14:textId="77777777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trike/>
          <w:sz w:val="22"/>
          <w:szCs w:val="22"/>
          <w:lang w:val="es-MX"/>
        </w:rPr>
      </w:pPr>
    </w:p>
    <w:bookmarkEnd w:id="43"/>
    <w:p w14:paraId="6DD80B3E" w14:textId="58CCA70E" w:rsidR="007E7CB9" w:rsidRDefault="000E7ED7" w:rsidP="007E7CB9">
      <w:pPr>
        <w:spacing w:line="276" w:lineRule="auto"/>
        <w:jc w:val="both"/>
        <w:rPr>
          <w:rFonts w:ascii="Museo Sans 100" w:hAnsi="Museo Sans 100" w:cs="Arial"/>
          <w:i/>
          <w:iCs/>
          <w:sz w:val="22"/>
          <w:szCs w:val="22"/>
          <w:lang w:val="es-SV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lastRenderedPageBreak/>
        <w:t>De forma detallada los gastos de consumo, ascendieron a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2,878.1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millones, mostrando un</w:t>
      </w:r>
      <w:r w:rsidR="00403B4D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a disminución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19.5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 con respecto </w:t>
      </w:r>
      <w:r w:rsidR="00724E84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Cs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donde las remuneraciones registraron un valor 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1,848.2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 con un</w:t>
      </w:r>
      <w:r w:rsidR="00EE08A6" w:rsidRPr="0001362C">
        <w:rPr>
          <w:rFonts w:ascii="Museo Sans 300" w:hAnsi="Museo Sans 300" w:cstheme="minorHAnsi"/>
          <w:iCs/>
          <w:sz w:val="22"/>
          <w:szCs w:val="22"/>
          <w:lang w:val="es-MX"/>
        </w:rPr>
        <w:t>a disminución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177.4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 (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8.8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%) con respecto al año anterior</w:t>
      </w:r>
      <w:r w:rsidR="007E7CB9" w:rsidRPr="007E7CB9">
        <w:rPr>
          <w:rFonts w:ascii="Museo Sans 100" w:hAnsi="Museo Sans 100" w:cs="Arial"/>
          <w:i/>
          <w:iCs/>
          <w:sz w:val="22"/>
          <w:szCs w:val="22"/>
          <w:lang w:val="es-SV"/>
        </w:rPr>
        <w:t xml:space="preserve"> </w:t>
      </w:r>
      <w:r w:rsidR="007E7CB9">
        <w:rPr>
          <w:rFonts w:ascii="Museo Sans 100" w:hAnsi="Museo Sans 100" w:cs="Arial"/>
          <w:i/>
          <w:iCs/>
          <w:sz w:val="22"/>
          <w:szCs w:val="22"/>
          <w:lang w:val="es-SV"/>
        </w:rPr>
        <w:t>a</w:t>
      </w:r>
      <w:r w:rsidR="007E7CB9" w:rsidRPr="007E7CB9">
        <w:rPr>
          <w:rFonts w:ascii="Museo Sans 300" w:hAnsi="Museo Sans 300" w:cstheme="minorHAnsi"/>
          <w:iCs/>
          <w:sz w:val="22"/>
          <w:szCs w:val="22"/>
          <w:lang w:val="es-MX"/>
        </w:rPr>
        <w:t>producto de la contención de la masa salarial</w:t>
      </w:r>
      <w:r w:rsidR="007C2CD3" w:rsidRPr="007E7CB9">
        <w:rPr>
          <w:rFonts w:ascii="Museo Sans 300" w:hAnsi="Museo Sans 300" w:cstheme="minorHAnsi"/>
          <w:sz w:val="22"/>
          <w:szCs w:val="22"/>
        </w:rPr>
        <w:t>;</w:t>
      </w:r>
      <w:r w:rsidR="007C2CD3" w:rsidRPr="0001362C">
        <w:rPr>
          <w:rFonts w:ascii="Museo Sans 300" w:hAnsi="Museo Sans 300" w:cstheme="minorHAnsi"/>
          <w:sz w:val="22"/>
          <w:szCs w:val="22"/>
        </w:rPr>
        <w:t xml:space="preserve"> por su parte,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el </w:t>
      </w:r>
      <w:r w:rsidR="00B46567" w:rsidRPr="0001362C">
        <w:rPr>
          <w:rFonts w:ascii="Museo Sans 300" w:hAnsi="Museo Sans 300" w:cstheme="minorHAnsi"/>
          <w:iCs/>
          <w:sz w:val="22"/>
          <w:szCs w:val="22"/>
          <w:lang w:val="es-MX"/>
        </w:rPr>
        <w:t>r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ubro de </w:t>
      </w:r>
      <w:r w:rsidR="00B46567" w:rsidRPr="0001362C">
        <w:rPr>
          <w:rFonts w:ascii="Museo Sans 300" w:hAnsi="Museo Sans 300" w:cstheme="minorHAnsi"/>
          <w:iCs/>
          <w:sz w:val="22"/>
          <w:szCs w:val="22"/>
          <w:lang w:val="es-MX"/>
        </w:rPr>
        <w:t>b</w:t>
      </w:r>
      <w:r w:rsidR="00E15344" w:rsidRPr="0001362C">
        <w:rPr>
          <w:rFonts w:ascii="Museo Sans 300" w:hAnsi="Museo Sans 300" w:cstheme="minorHAnsi"/>
          <w:iCs/>
          <w:sz w:val="22"/>
          <w:szCs w:val="22"/>
          <w:lang w:val="es-MX"/>
        </w:rPr>
        <w:t>i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enes y </w:t>
      </w:r>
      <w:r w:rsidR="00B46567" w:rsidRPr="0001362C">
        <w:rPr>
          <w:rFonts w:ascii="Museo Sans 300" w:hAnsi="Museo Sans 300" w:cstheme="minorHAnsi"/>
          <w:iCs/>
          <w:sz w:val="22"/>
          <w:szCs w:val="22"/>
          <w:lang w:val="es-MX"/>
        </w:rPr>
        <w:t>s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ervicios </w:t>
      </w:r>
      <w:r w:rsidR="00DC052D" w:rsidRPr="0001362C">
        <w:rPr>
          <w:rFonts w:ascii="Museo Sans 300" w:hAnsi="Museo Sans 300" w:cstheme="minorHAnsi"/>
          <w:iCs/>
          <w:sz w:val="22"/>
          <w:szCs w:val="22"/>
          <w:lang w:val="es-MX"/>
        </w:rPr>
        <w:t>registr</w:t>
      </w:r>
      <w:r w:rsidR="007C2CD3" w:rsidRPr="0001362C">
        <w:rPr>
          <w:rFonts w:ascii="Museo Sans 300" w:hAnsi="Museo Sans 300" w:cstheme="minorHAnsi"/>
          <w:iCs/>
          <w:sz w:val="22"/>
          <w:szCs w:val="22"/>
          <w:lang w:val="es-MX"/>
        </w:rPr>
        <w:t>ó</w:t>
      </w:r>
      <w:r w:rsidR="00DC052D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1,029.9</w:t>
      </w:r>
      <w:r w:rsidR="00DC052D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millones, </w:t>
      </w:r>
      <w:r w:rsidR="007C2CD3" w:rsidRPr="0001362C">
        <w:rPr>
          <w:rFonts w:ascii="Museo Sans 300" w:hAnsi="Museo Sans 300" w:cstheme="minorHAnsi"/>
          <w:iCs/>
          <w:sz w:val="22"/>
          <w:szCs w:val="22"/>
          <w:lang w:val="es-MX"/>
        </w:rPr>
        <w:t>con un aumento de</w:t>
      </w:r>
      <w:r w:rsidR="00EE08A6"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solo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 xml:space="preserve">157.9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millones (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18.1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%)</w:t>
      </w:r>
      <w:r w:rsidR="007E7CB9" w:rsidRPr="007E7CB9">
        <w:rPr>
          <w:rFonts w:ascii="Museo Sans 100" w:hAnsi="Museo Sans 100" w:cs="Arial"/>
          <w:i/>
          <w:iCs/>
          <w:sz w:val="22"/>
          <w:szCs w:val="22"/>
        </w:rPr>
        <w:t xml:space="preserve"> </w:t>
      </w:r>
      <w:r w:rsidR="007E7CB9" w:rsidRPr="007E7CB9">
        <w:rPr>
          <w:rFonts w:ascii="Museo Sans 300" w:hAnsi="Museo Sans 300" w:cstheme="minorHAnsi"/>
          <w:iCs/>
          <w:sz w:val="22"/>
          <w:szCs w:val="22"/>
          <w:lang w:val="es-MX"/>
        </w:rPr>
        <w:t>derivado del pago a proveedores realizada en el gobierno central</w:t>
      </w:r>
      <w:r w:rsidR="007E7CB9">
        <w:rPr>
          <w:rFonts w:ascii="Museo Sans 100" w:hAnsi="Museo Sans 100" w:cs="Arial"/>
          <w:i/>
          <w:iCs/>
          <w:sz w:val="22"/>
          <w:szCs w:val="22"/>
          <w:lang w:val="es-SV"/>
        </w:rPr>
        <w:t>.</w:t>
      </w:r>
    </w:p>
    <w:p w14:paraId="7AB6FB1E" w14:textId="77777777" w:rsidR="00C00863" w:rsidRDefault="00C00863" w:rsidP="00E61B3F">
      <w:pPr>
        <w:spacing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</w:p>
    <w:p w14:paraId="10FBB5B0" w14:textId="144A1FE9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Los intereses de la deuda alcanzaron un valor 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886.8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millones, experimentando un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 xml:space="preserve"> incremento 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>de $</w:t>
      </w:r>
      <w:r w:rsidR="00F65474">
        <w:rPr>
          <w:rFonts w:ascii="Museo Sans 300" w:hAnsi="Museo Sans 300" w:cstheme="minorHAnsi"/>
          <w:iCs/>
          <w:sz w:val="22"/>
          <w:szCs w:val="22"/>
          <w:lang w:val="es-MX"/>
        </w:rPr>
        <w:t>89.6</w:t>
      </w:r>
      <w:r w:rsidRPr="0001362C">
        <w:rPr>
          <w:rFonts w:ascii="Museo Sans 300" w:hAnsi="Museo Sans 300" w:cstheme="minorHAnsi"/>
          <w:iCs/>
          <w:sz w:val="22"/>
          <w:szCs w:val="22"/>
          <w:lang w:val="es-MX"/>
        </w:rPr>
        <w:t xml:space="preserve"> millones con respecto al año anterior</w:t>
      </w:r>
      <w:r w:rsidR="00D660B6" w:rsidRPr="0001362C">
        <w:rPr>
          <w:rFonts w:ascii="Museo Sans 300" w:hAnsi="Museo Sans 300" w:cstheme="minorHAnsi"/>
          <w:sz w:val="22"/>
          <w:szCs w:val="22"/>
        </w:rPr>
        <w:t>.</w:t>
      </w:r>
    </w:p>
    <w:p w14:paraId="2375D1F1" w14:textId="77777777" w:rsidR="000E7ED7" w:rsidRPr="0001362C" w:rsidRDefault="000E7ED7" w:rsidP="00E61B3F">
      <w:pPr>
        <w:spacing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</w:p>
    <w:p w14:paraId="452797B5" w14:textId="77777777" w:rsidR="00AF33D6" w:rsidRPr="00AF33D6" w:rsidRDefault="00AF33D6" w:rsidP="00AF33D6">
      <w:pPr>
        <w:pStyle w:val="NormalWeb"/>
        <w:shd w:val="clear" w:color="auto" w:fill="FFFFFF"/>
        <w:spacing w:before="0" w:beforeAutospacing="0" w:after="143" w:afterAutospacing="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MX" w:eastAsia="es-ES"/>
        </w:rPr>
      </w:pPr>
      <w:r w:rsidRPr="00AF33D6">
        <w:rPr>
          <w:rFonts w:ascii="Museo Sans 300" w:hAnsi="Museo Sans 300" w:cstheme="minorHAnsi"/>
          <w:iCs/>
          <w:sz w:val="22"/>
          <w:szCs w:val="22"/>
          <w:lang w:val="es-MX" w:eastAsia="es-ES"/>
        </w:rPr>
        <w:t xml:space="preserve">En cuanto a las transferencias corrientes, éstas ascendieron a $927.6 millones, mostrando un aumento con respecto al año anterior de $38.8 millones, entre los mayores montos transferidos podemos destacar:  pago a Veteranos y ex combatientes del conflicto armado; subsidios; transferencia al Instituto de Previsión de la Fuerza Armada (IPSFA), compra de paquetes escolares, pago de pensiones, apoyo a la micro y pequeña empresa, entre otras. </w:t>
      </w:r>
    </w:p>
    <w:p w14:paraId="012CEFB6" w14:textId="61FCA015" w:rsidR="00444A8D" w:rsidRPr="0001362C" w:rsidRDefault="000E7ED7" w:rsidP="00076592">
      <w:pPr>
        <w:pStyle w:val="NormalWeb"/>
        <w:shd w:val="clear" w:color="auto" w:fill="FFFFFF"/>
        <w:spacing w:before="0" w:beforeAutospacing="0" w:after="143" w:afterAutospacing="0"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5: Composición del Gasto Corriente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-202</w:t>
      </w:r>
      <w:r w:rsidR="00FF42D1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</w:p>
    <w:p w14:paraId="33F4DAFB" w14:textId="0587268E" w:rsidR="000E7ED7" w:rsidRPr="0001362C" w:rsidRDefault="00EB5D16" w:rsidP="007C00E1">
      <w:pPr>
        <w:spacing w:line="480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2CDEC325" wp14:editId="78798283">
            <wp:extent cx="5349600" cy="3060000"/>
            <wp:effectExtent l="0" t="0" r="3810" b="762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3819C0F" w14:textId="77777777" w:rsidR="009A5107" w:rsidRPr="004B1D41" w:rsidRDefault="009A510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18"/>
          <w:szCs w:val="18"/>
          <w:lang w:val="es-SV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SV"/>
        </w:rPr>
        <w:t xml:space="preserve">                      </w:t>
      </w:r>
      <w:r w:rsidRPr="004B1D41">
        <w:rPr>
          <w:rFonts w:ascii="Museo Sans 300" w:hAnsi="Museo Sans 300" w:cstheme="minorHAnsi"/>
          <w:iCs/>
          <w:sz w:val="18"/>
          <w:szCs w:val="18"/>
          <w:lang w:val="es-SV"/>
        </w:rPr>
        <w:t>Fuente: Ministerio de Hacienda</w:t>
      </w:r>
    </w:p>
    <w:p w14:paraId="2E4CDEBA" w14:textId="77777777" w:rsidR="009A5107" w:rsidRPr="0001362C" w:rsidRDefault="009A510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SV"/>
        </w:rPr>
      </w:pPr>
    </w:p>
    <w:p w14:paraId="143DDECA" w14:textId="77777777" w:rsidR="000E7ED7" w:rsidRPr="0001362C" w:rsidRDefault="000E7ED7" w:rsidP="007C00E1">
      <w:pPr>
        <w:pStyle w:val="Ttulo3"/>
        <w:spacing w:line="480" w:lineRule="auto"/>
        <w:rPr>
          <w:rFonts w:ascii="Museo Sans 300" w:hAnsi="Museo Sans 300" w:cstheme="minorHAnsi"/>
          <w:i/>
          <w:szCs w:val="22"/>
          <w:lang w:val="es-MX"/>
        </w:rPr>
      </w:pPr>
      <w:bookmarkStart w:id="44" w:name="_Toc207711201"/>
      <w:r w:rsidRPr="0001362C">
        <w:rPr>
          <w:rFonts w:ascii="Museo Sans 300" w:hAnsi="Museo Sans 300" w:cstheme="minorHAnsi"/>
          <w:i/>
          <w:szCs w:val="22"/>
          <w:lang w:val="es-MX"/>
        </w:rPr>
        <w:t>2.2 Gasto de Capital</w:t>
      </w:r>
      <w:bookmarkEnd w:id="44"/>
    </w:p>
    <w:p w14:paraId="2498B81D" w14:textId="6362C7A0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bookmarkStart w:id="45" w:name="_Hlk128489614"/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Los gastos de capital del SPNF al mes de </w:t>
      </w:r>
      <w:r w:rsidR="00145AA8">
        <w:rPr>
          <w:rFonts w:ascii="Museo Sans 300" w:hAnsi="Museo Sans 300" w:cstheme="minorHAnsi"/>
          <w:iCs/>
          <w:sz w:val="22"/>
          <w:szCs w:val="22"/>
          <w:lang w:val="es-419"/>
        </w:rPr>
        <w:t>junio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de 202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419"/>
        </w:rPr>
        <w:t>5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alcanzaron un monto de $</w:t>
      </w:r>
      <w:r w:rsidR="00B23FF0">
        <w:rPr>
          <w:rFonts w:ascii="Museo Sans 300" w:hAnsi="Museo Sans 300" w:cstheme="minorHAnsi"/>
          <w:iCs/>
          <w:sz w:val="22"/>
          <w:szCs w:val="22"/>
          <w:lang w:val="es-419"/>
        </w:rPr>
        <w:t>867.7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millones, experimentando un</w:t>
      </w:r>
      <w:r w:rsidR="00FD0D55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aumento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de 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46.7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% con respecto </w:t>
      </w:r>
      <w:r w:rsidR="00724E84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a </w:t>
      </w:r>
      <w:r w:rsidR="00145AA8">
        <w:rPr>
          <w:rFonts w:ascii="Museo Sans 300" w:hAnsi="Museo Sans 300" w:cstheme="minorHAnsi"/>
          <w:iCs/>
          <w:sz w:val="22"/>
          <w:szCs w:val="22"/>
          <w:lang w:val="es-419"/>
        </w:rPr>
        <w:t>junio</w:t>
      </w:r>
      <w:r w:rsidR="00E22524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2024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, producto </w:t>
      </w:r>
      <w:r w:rsidR="00FD0D55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principalmente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de</w:t>
      </w:r>
      <w:r w:rsidR="00FD0D55" w:rsidRPr="0001362C">
        <w:rPr>
          <w:rFonts w:ascii="Museo Sans 300" w:hAnsi="Museo Sans 300" w:cstheme="minorHAnsi"/>
          <w:iCs/>
          <w:sz w:val="22"/>
          <w:szCs w:val="22"/>
          <w:lang w:val="es-419"/>
        </w:rPr>
        <w:t>l incremento</w:t>
      </w:r>
      <w:r w:rsidR="00283F9C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en la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inversión pública. </w:t>
      </w:r>
    </w:p>
    <w:p w14:paraId="11DBE404" w14:textId="77777777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</w:p>
    <w:p w14:paraId="525A2C2B" w14:textId="32341E8F" w:rsidR="004B1D41" w:rsidRPr="009E150A" w:rsidRDefault="000E7ED7" w:rsidP="009E150A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lastRenderedPageBreak/>
        <w:t>La Inversión Pública del SPNF alcanzó un valor de $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796.3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millones, con un</w:t>
      </w:r>
      <w:r w:rsidR="00FD0D55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aumento</w:t>
      </w:r>
      <w:r w:rsidR="00AF59E7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anual de $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236.8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millones; representando un 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2.2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% del PIB</w:t>
      </w:r>
      <w:bookmarkEnd w:id="45"/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.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Dicho incremento se explica por la ejecución de infraestructura vial, educativa </w:t>
      </w:r>
      <w:r w:rsid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e infraestructura diversa 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>que está realizando la DOM</w:t>
      </w:r>
      <w:r w:rsid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, 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CEPA </w:t>
      </w:r>
      <w:r w:rsidR="00364276" w:rsidRP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principalmente 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>en la ampliación del área de registro de pasajeros del Aeropuerto</w:t>
      </w:r>
      <w:r w:rsid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y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MOP </w:t>
      </w:r>
      <w:r w:rsidR="009E150A">
        <w:rPr>
          <w:rFonts w:ascii="Museo Sans 300" w:hAnsi="Museo Sans 300" w:cstheme="minorHAnsi"/>
          <w:iCs/>
          <w:sz w:val="22"/>
          <w:szCs w:val="22"/>
          <w:lang w:val="es-419"/>
        </w:rPr>
        <w:t>en la</w:t>
      </w:r>
      <w:r w:rsidR="00C54743" w:rsidRPr="009E150A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  <w:r w:rsidR="00E935B7" w:rsidRPr="009E150A">
        <w:rPr>
          <w:rFonts w:ascii="Museo Sans 300" w:hAnsi="Museo Sans 300" w:cstheme="minorHAnsi"/>
          <w:iCs/>
          <w:sz w:val="22"/>
          <w:szCs w:val="22"/>
          <w:lang w:val="es-419"/>
        </w:rPr>
        <w:t>Rehabilitación de Centros Educativos a nivel nacional y Construcción de Viaducto y Ampliación de Carretera CA01W (Tramo Los Chorros), entre otros.</w:t>
      </w:r>
    </w:p>
    <w:p w14:paraId="0C1407AA" w14:textId="587CFBB8" w:rsidR="000E7ED7" w:rsidRPr="0001362C" w:rsidRDefault="00AF4809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6: Inversión Pública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0A13D8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FF42D1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</w:p>
    <w:p w14:paraId="7776AA25" w14:textId="43ADED88" w:rsidR="00AF4809" w:rsidRPr="0001362C" w:rsidRDefault="00EB5D16" w:rsidP="00E61B3F">
      <w:pPr>
        <w:pStyle w:val="Textoindependiente2"/>
        <w:spacing w:after="0" w:line="276" w:lineRule="auto"/>
        <w:ind w:right="-32"/>
        <w:jc w:val="center"/>
        <w:rPr>
          <w:rFonts w:ascii="Museo Sans 300" w:hAnsi="Museo Sans 300" w:cstheme="minorHAnsi"/>
          <w:iCs/>
          <w:sz w:val="22"/>
          <w:szCs w:val="22"/>
          <w:lang w:val="es-419"/>
        </w:rPr>
      </w:pPr>
      <w:r>
        <w:rPr>
          <w:noProof/>
        </w:rPr>
        <w:drawing>
          <wp:inline distT="0" distB="0" distL="0" distR="0" wp14:anchorId="027E5346" wp14:editId="7A65925E">
            <wp:extent cx="5191045" cy="2901600"/>
            <wp:effectExtent l="0" t="0" r="10160" b="1333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831CD36" w14:textId="77777777" w:rsidR="00806290" w:rsidRPr="004B1D41" w:rsidRDefault="00806290" w:rsidP="00806290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18"/>
          <w:szCs w:val="18"/>
          <w:lang w:val="es-SV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SV"/>
        </w:rPr>
        <w:t xml:space="preserve">                      </w:t>
      </w:r>
      <w:r w:rsidRPr="004B1D41">
        <w:rPr>
          <w:rFonts w:ascii="Museo Sans 300" w:hAnsi="Museo Sans 300" w:cstheme="minorHAnsi"/>
          <w:iCs/>
          <w:sz w:val="18"/>
          <w:szCs w:val="18"/>
          <w:lang w:val="es-SV"/>
        </w:rPr>
        <w:t>Fuente: Ministerio de Hacienda</w:t>
      </w:r>
    </w:p>
    <w:p w14:paraId="499A4E95" w14:textId="77777777" w:rsidR="00806290" w:rsidRPr="0001362C" w:rsidRDefault="00806290" w:rsidP="00806290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SV"/>
        </w:rPr>
      </w:pPr>
    </w:p>
    <w:p w14:paraId="6D1DBCB0" w14:textId="13E91D6A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A nivel de subsectores, el Gobierno Central Consolidado ejecutó el mayor porcentaje siendo un 8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8.3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% ($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703.3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millones) del total; Resto del Gobierno General, </w:t>
      </w:r>
      <w:r w:rsidR="00AF59E7" w:rsidRPr="0001362C">
        <w:rPr>
          <w:rFonts w:ascii="Museo Sans 300" w:hAnsi="Museo Sans 300" w:cstheme="minorHAnsi"/>
          <w:iCs/>
          <w:sz w:val="22"/>
          <w:szCs w:val="22"/>
          <w:lang w:val="es-419"/>
        </w:rPr>
        <w:t>2.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2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% ($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17.3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millones) y las Empresas Públicas ejecutaron un 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9.5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% ($</w:t>
      </w:r>
      <w:r w:rsidR="006C6D52">
        <w:rPr>
          <w:rFonts w:ascii="Museo Sans 300" w:hAnsi="Museo Sans 300" w:cstheme="minorHAnsi"/>
          <w:iCs/>
          <w:sz w:val="22"/>
          <w:szCs w:val="22"/>
          <w:lang w:val="es-419"/>
        </w:rPr>
        <w:t>75.6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millones) del total, destacando la ejecución de las </w:t>
      </w:r>
      <w:r w:rsidRPr="009920F5">
        <w:rPr>
          <w:rFonts w:ascii="Museo Sans 300" w:hAnsi="Museo Sans 300" w:cstheme="minorHAnsi"/>
          <w:iCs/>
          <w:sz w:val="22"/>
          <w:szCs w:val="22"/>
          <w:lang w:val="es-419"/>
        </w:rPr>
        <w:t xml:space="preserve">instituciones de DOM, </w:t>
      </w:r>
      <w:r w:rsidR="00C03BA0" w:rsidRPr="009920F5">
        <w:rPr>
          <w:rFonts w:ascii="Museo Sans 300" w:hAnsi="Museo Sans 300" w:cstheme="minorHAnsi"/>
          <w:iCs/>
          <w:sz w:val="22"/>
          <w:szCs w:val="22"/>
          <w:lang w:val="es-419"/>
        </w:rPr>
        <w:t xml:space="preserve">FOVIAL, </w:t>
      </w:r>
      <w:r w:rsidRPr="009920F5">
        <w:rPr>
          <w:rFonts w:ascii="Museo Sans 300" w:hAnsi="Museo Sans 300" w:cstheme="minorHAnsi"/>
          <w:iCs/>
          <w:sz w:val="22"/>
          <w:szCs w:val="22"/>
          <w:lang w:val="es-419"/>
        </w:rPr>
        <w:t>MINEDUCYT, MOP</w:t>
      </w:r>
      <w:r w:rsidR="00AF59E7" w:rsidRPr="009920F5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y CEPA</w:t>
      </w:r>
      <w:r w:rsidRPr="009920F5">
        <w:rPr>
          <w:rFonts w:ascii="Museo Sans 300" w:hAnsi="Museo Sans 300" w:cstheme="minorHAnsi"/>
          <w:iCs/>
          <w:sz w:val="22"/>
          <w:szCs w:val="22"/>
          <w:lang w:val="es-419"/>
        </w:rPr>
        <w:t>.</w:t>
      </w:r>
    </w:p>
    <w:p w14:paraId="28DC8E65" w14:textId="77777777" w:rsidR="000E7ED7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MX"/>
        </w:rPr>
      </w:pPr>
    </w:p>
    <w:p w14:paraId="75DDD249" w14:textId="00A9D395" w:rsidR="009225FE" w:rsidRPr="0001362C" w:rsidRDefault="000E7ED7" w:rsidP="00E61B3F">
      <w:pPr>
        <w:pStyle w:val="Textoindependiente2"/>
        <w:spacing w:after="0" w:line="276" w:lineRule="auto"/>
        <w:ind w:right="-32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DF45DB">
        <w:rPr>
          <w:rFonts w:ascii="Museo Sans 300" w:hAnsi="Museo Sans 300" w:cstheme="minorHAnsi"/>
          <w:iCs/>
          <w:sz w:val="22"/>
          <w:szCs w:val="22"/>
          <w:lang w:val="es-419"/>
        </w:rPr>
        <w:t xml:space="preserve">Entre los programas y proyectos con mayores avances </w:t>
      </w:r>
      <w:r w:rsidR="00724E84" w:rsidRPr="00DF45DB">
        <w:rPr>
          <w:rFonts w:ascii="Museo Sans 300" w:hAnsi="Museo Sans 300" w:cstheme="minorHAnsi"/>
          <w:iCs/>
          <w:sz w:val="22"/>
          <w:szCs w:val="22"/>
          <w:lang w:val="es-419"/>
        </w:rPr>
        <w:t xml:space="preserve">al mes de </w:t>
      </w:r>
      <w:r w:rsidR="00145AA8" w:rsidRPr="00DF45DB">
        <w:rPr>
          <w:rFonts w:ascii="Museo Sans 300" w:hAnsi="Museo Sans 300" w:cstheme="minorHAnsi"/>
          <w:iCs/>
          <w:sz w:val="22"/>
          <w:szCs w:val="22"/>
          <w:lang w:val="es-419"/>
        </w:rPr>
        <w:t>junio</w:t>
      </w:r>
      <w:r w:rsidR="00724E84" w:rsidRPr="00DF45DB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2025</w:t>
      </w:r>
      <w:r w:rsidRPr="00DF45DB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se destacan los siguientes:</w:t>
      </w:r>
    </w:p>
    <w:p w14:paraId="6C9CA985" w14:textId="08988818" w:rsidR="00D508CB" w:rsidRPr="0001362C" w:rsidRDefault="00AF59E7" w:rsidP="00D508CB">
      <w:pPr>
        <w:spacing w:before="240" w:after="240" w:line="276" w:lineRule="auto"/>
        <w:contextualSpacing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MINEDUCYT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:</w:t>
      </w:r>
    </w:p>
    <w:p w14:paraId="5E38F418" w14:textId="77777777" w:rsidR="00D508CB" w:rsidRPr="0001362C" w:rsidRDefault="00AF59E7" w:rsidP="00D508CB">
      <w:pPr>
        <w:pStyle w:val="Prrafodelista"/>
        <w:numPr>
          <w:ilvl w:val="0"/>
          <w:numId w:val="3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Programa de Reducción de Brecha Digital en Centros Escolares de El Salvador; </w:t>
      </w:r>
    </w:p>
    <w:p w14:paraId="7869A980" w14:textId="77777777" w:rsidR="00D508CB" w:rsidRPr="0001362C" w:rsidRDefault="00AF59E7" w:rsidP="00D508CB">
      <w:pPr>
        <w:pStyle w:val="Prrafodelista"/>
        <w:numPr>
          <w:ilvl w:val="0"/>
          <w:numId w:val="3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Programa "Mi Nueva Escuela" de El Salvador, </w:t>
      </w:r>
    </w:p>
    <w:p w14:paraId="09E3B806" w14:textId="2798AF92" w:rsidR="00AF59E7" w:rsidRPr="0001362C" w:rsidRDefault="00AF59E7" w:rsidP="00D508CB">
      <w:pPr>
        <w:pStyle w:val="Prrafodelista"/>
        <w:numPr>
          <w:ilvl w:val="0"/>
          <w:numId w:val="3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Crecer y Aprender Juntos: Desarrollo Integral de la Primera Infancia en El Salvador.</w:t>
      </w:r>
    </w:p>
    <w:p w14:paraId="51A58D1C" w14:textId="77777777" w:rsidR="00D508CB" w:rsidRPr="0001362C" w:rsidRDefault="00D508CB" w:rsidP="00D508CB">
      <w:p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MINSAL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: </w:t>
      </w:r>
    </w:p>
    <w:p w14:paraId="48F64867" w14:textId="77777777" w:rsidR="00902C2A" w:rsidRPr="0001362C" w:rsidRDefault="00D508CB" w:rsidP="00D508CB">
      <w:pPr>
        <w:pStyle w:val="Prrafodelista"/>
        <w:numPr>
          <w:ilvl w:val="0"/>
          <w:numId w:val="6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Programa Integrado de Salud II, </w:t>
      </w:r>
    </w:p>
    <w:p w14:paraId="27942ED2" w14:textId="79EF7C93" w:rsidR="00D508CB" w:rsidRPr="0001362C" w:rsidRDefault="00D508CB" w:rsidP="003172D4">
      <w:pPr>
        <w:pStyle w:val="Prrafodelista"/>
        <w:numPr>
          <w:ilvl w:val="0"/>
          <w:numId w:val="6"/>
        </w:numPr>
        <w:spacing w:before="240" w:after="240" w:line="276" w:lineRule="auto"/>
        <w:ind w:left="765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lastRenderedPageBreak/>
        <w:t>Programa Creciendo Saludables Juntos: Desarrollo</w:t>
      </w:r>
      <w:r w:rsidR="00902C2A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Integral de la Primera Infancia en El Salvador</w:t>
      </w:r>
    </w:p>
    <w:p w14:paraId="47498557" w14:textId="77777777" w:rsidR="00D508CB" w:rsidRPr="0001362C" w:rsidRDefault="00D508CB" w:rsidP="00D508CB">
      <w:pPr>
        <w:spacing w:before="240" w:after="240" w:line="276" w:lineRule="auto"/>
        <w:contextualSpacing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MITUR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: </w:t>
      </w:r>
    </w:p>
    <w:p w14:paraId="7BC9BD9C" w14:textId="5A5F4533" w:rsidR="00D508CB" w:rsidRPr="0074290E" w:rsidRDefault="00D508CB" w:rsidP="00D508CB">
      <w:pPr>
        <w:pStyle w:val="Prrafodelista"/>
        <w:numPr>
          <w:ilvl w:val="0"/>
          <w:numId w:val="6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de Apoyo a la Recuperación y Expansión del Sector Turismo en El Salvador.</w:t>
      </w:r>
    </w:p>
    <w:p w14:paraId="3798F1E0" w14:textId="0CC4FA79" w:rsidR="00D508CB" w:rsidRPr="0001362C" w:rsidRDefault="00AF59E7" w:rsidP="00D508CB">
      <w:pPr>
        <w:spacing w:before="240" w:after="240" w:line="276" w:lineRule="auto"/>
        <w:contextualSpacing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FOVIAL: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</w:p>
    <w:p w14:paraId="3B19E06F" w14:textId="77777777" w:rsidR="00902C2A" w:rsidRPr="0001362C" w:rsidRDefault="00AF59E7" w:rsidP="00D508CB">
      <w:pPr>
        <w:pStyle w:val="Prrafodelista"/>
        <w:numPr>
          <w:ilvl w:val="0"/>
          <w:numId w:val="3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Programa de Inversiones Adicionales al Mantenimiento, </w:t>
      </w:r>
    </w:p>
    <w:p w14:paraId="2062C567" w14:textId="46D37C7A" w:rsidR="00D508CB" w:rsidRPr="0001362C" w:rsidRDefault="00AF59E7" w:rsidP="003172D4">
      <w:pPr>
        <w:pStyle w:val="Prrafodelista"/>
        <w:numPr>
          <w:ilvl w:val="0"/>
          <w:numId w:val="3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de Mantenimiento</w:t>
      </w:r>
      <w:r w:rsidR="00902C2A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Rutinario de Vías Pavimentadas a Nivel Nacional 2024 - Componente de inversión, </w:t>
      </w:r>
    </w:p>
    <w:p w14:paraId="1C482489" w14:textId="1B0011AB" w:rsidR="00AF59E7" w:rsidRPr="0001362C" w:rsidRDefault="00AF59E7" w:rsidP="00D508CB">
      <w:pPr>
        <w:pStyle w:val="Prrafodelista"/>
        <w:numPr>
          <w:ilvl w:val="0"/>
          <w:numId w:val="5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de Mantenimiento Periódico 2024.</w:t>
      </w:r>
    </w:p>
    <w:p w14:paraId="74112CAE" w14:textId="77777777" w:rsidR="00D508CB" w:rsidRPr="0001362C" w:rsidRDefault="00D508CB" w:rsidP="00D508CB">
      <w:pPr>
        <w:spacing w:before="240" w:after="240" w:line="276" w:lineRule="auto"/>
        <w:contextualSpacing/>
        <w:jc w:val="both"/>
        <w:rPr>
          <w:rFonts w:ascii="Museo Sans 300" w:hAnsi="Museo Sans 300" w:cstheme="minorHAnsi"/>
          <w:b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 xml:space="preserve">DOM: </w:t>
      </w:r>
    </w:p>
    <w:p w14:paraId="590CA99B" w14:textId="77777777" w:rsidR="00D508CB" w:rsidRPr="0001362C" w:rsidRDefault="00D508CB" w:rsidP="00D508CB">
      <w:pPr>
        <w:pStyle w:val="Prrafodelista"/>
        <w:numPr>
          <w:ilvl w:val="0"/>
          <w:numId w:val="5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de Obras Municipales para Infraestructura Vial a nivel nacional, año 2025,</w:t>
      </w:r>
    </w:p>
    <w:p w14:paraId="2E318917" w14:textId="77777777" w:rsidR="00D508CB" w:rsidRPr="0001362C" w:rsidRDefault="00D508CB" w:rsidP="00D508CB">
      <w:pPr>
        <w:pStyle w:val="Prrafodelista"/>
        <w:numPr>
          <w:ilvl w:val="0"/>
          <w:numId w:val="5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Programa de Obras Municipales para infraestructuras diversas a nivel nacional, año 2025,</w:t>
      </w:r>
    </w:p>
    <w:p w14:paraId="5BD360B3" w14:textId="55D38210" w:rsidR="00D508CB" w:rsidRPr="0001362C" w:rsidRDefault="00D508CB" w:rsidP="00D508CB">
      <w:pPr>
        <w:pStyle w:val="Prrafodelista"/>
        <w:numPr>
          <w:ilvl w:val="0"/>
          <w:numId w:val="5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Programa de Obras Municipales para Infraestructura y Equipamiento de Centros Educativos a nivel nacional, año 2025.</w:t>
      </w:r>
    </w:p>
    <w:p w14:paraId="62B42EAF" w14:textId="35859F7D" w:rsidR="00D508CB" w:rsidRPr="0001362C" w:rsidRDefault="00AF59E7" w:rsidP="00D508CB">
      <w:pPr>
        <w:spacing w:before="240" w:after="240" w:line="276" w:lineRule="auto"/>
        <w:contextualSpacing/>
        <w:jc w:val="both"/>
        <w:rPr>
          <w:rFonts w:ascii="Museo Sans 300" w:hAnsi="Museo Sans 300" w:cstheme="minorHAnsi"/>
          <w:b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MOP:</w:t>
      </w:r>
    </w:p>
    <w:p w14:paraId="70395545" w14:textId="3DD8BC2C" w:rsidR="00D508CB" w:rsidRPr="0001362C" w:rsidRDefault="00AF59E7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Construcción de Viaducto y Ampliación de Carretera CA01W (Tramo Los Chorros), entre Autopista Monseñor Romero y CA01W; </w:t>
      </w:r>
      <w:r w:rsidR="00902C2A" w:rsidRPr="0001362C">
        <w:rPr>
          <w:rFonts w:ascii="Museo Sans 300" w:hAnsi="Museo Sans 300" w:cstheme="minorHAnsi"/>
          <w:iCs/>
          <w:sz w:val="22"/>
          <w:szCs w:val="22"/>
          <w:lang w:val="es-419"/>
        </w:rPr>
        <w:t>M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unicipios de Santa Tecla, Colón y San Juan Opico, </w:t>
      </w:r>
      <w:r w:rsidR="00902C2A" w:rsidRPr="0001362C">
        <w:rPr>
          <w:rFonts w:ascii="Museo Sans 300" w:hAnsi="Museo Sans 300" w:cstheme="minorHAnsi"/>
          <w:iCs/>
          <w:sz w:val="22"/>
          <w:szCs w:val="22"/>
          <w:lang w:val="es-419"/>
        </w:rPr>
        <w:t>D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epartamento de La Libertad</w:t>
      </w:r>
      <w:r w:rsidR="00AD1EB5" w:rsidRPr="0001362C">
        <w:rPr>
          <w:rFonts w:ascii="Museo Sans 300" w:hAnsi="Museo Sans 300" w:cstheme="minorHAnsi"/>
          <w:iCs/>
          <w:sz w:val="22"/>
          <w:szCs w:val="22"/>
          <w:lang w:val="es-419"/>
        </w:rPr>
        <w:t>;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</w:p>
    <w:p w14:paraId="40E532FE" w14:textId="77777777" w:rsidR="00D508CB" w:rsidRPr="0001362C" w:rsidRDefault="00AF59E7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Suministro e instalación de luminarias con tecnología LED en tramos priorizados de la red vial, a nivel nacional</w:t>
      </w:r>
      <w:r w:rsidR="00AD1EB5" w:rsidRPr="0001362C">
        <w:rPr>
          <w:rFonts w:ascii="Museo Sans 300" w:hAnsi="Museo Sans 300" w:cstheme="minorHAnsi"/>
          <w:iCs/>
          <w:sz w:val="22"/>
          <w:szCs w:val="22"/>
          <w:lang w:val="es-419"/>
        </w:rPr>
        <w:t>;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</w:p>
    <w:p w14:paraId="024D182B" w14:textId="77777777" w:rsidR="00D508CB" w:rsidRPr="0001362C" w:rsidRDefault="00AF59E7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Construcción y equipamiento del Centro de Monitoreo para la implementación del Sistema de Gestión de la Movilidad, San Salvador</w:t>
      </w:r>
      <w:r w:rsidR="00AD1EB5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</w:p>
    <w:p w14:paraId="16AE66C7" w14:textId="468096C1" w:rsidR="00AF59E7" w:rsidRDefault="00D508CB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C</w:t>
      </w:r>
      <w:r w:rsidR="00AF59E7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onstrucción de By Pass en </w:t>
      </w:r>
      <w:r w:rsidR="00AD1EB5" w:rsidRPr="0001362C">
        <w:rPr>
          <w:rFonts w:ascii="Museo Sans 300" w:hAnsi="Museo Sans 300" w:cstheme="minorHAnsi"/>
          <w:iCs/>
          <w:sz w:val="22"/>
          <w:szCs w:val="22"/>
          <w:lang w:val="es-419"/>
        </w:rPr>
        <w:t>C</w:t>
      </w:r>
      <w:r w:rsidR="00AF59E7"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iudad de San Miguel. </w:t>
      </w:r>
    </w:p>
    <w:p w14:paraId="50D5E9BA" w14:textId="4471C155" w:rsidR="006B7F26" w:rsidRPr="006B7F26" w:rsidRDefault="006B7F26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6B7F26">
        <w:rPr>
          <w:rFonts w:ascii="Museo Sans 300" w:hAnsi="Museo Sans 300" w:cstheme="minorHAnsi"/>
          <w:iCs/>
          <w:sz w:val="22"/>
          <w:szCs w:val="22"/>
          <w:lang w:val="es-419"/>
        </w:rPr>
        <w:t>Construcción y mejoramiento de Centros Educativos en distritos priorizados, a nivel nacional</w:t>
      </w:r>
      <w:r>
        <w:rPr>
          <w:rFonts w:ascii="Museo Sans 300" w:hAnsi="Museo Sans 300" w:cstheme="minorHAnsi"/>
          <w:iCs/>
          <w:sz w:val="22"/>
          <w:szCs w:val="22"/>
          <w:lang w:val="es-419"/>
        </w:rPr>
        <w:t>.</w:t>
      </w:r>
      <w:r w:rsidRPr="006B7F26">
        <w:rPr>
          <w:rFonts w:ascii="Museo Sans 300" w:hAnsi="Museo Sans 300" w:cstheme="minorHAnsi"/>
          <w:iCs/>
          <w:sz w:val="22"/>
          <w:szCs w:val="22"/>
          <w:lang w:val="es-419"/>
        </w:rPr>
        <w:t xml:space="preserve"> </w:t>
      </w:r>
    </w:p>
    <w:p w14:paraId="4E244DB1" w14:textId="5F6E52EF" w:rsidR="006B7F26" w:rsidRPr="0001362C" w:rsidRDefault="006B7F26" w:rsidP="00D508CB">
      <w:pPr>
        <w:pStyle w:val="Prrafodelista"/>
        <w:numPr>
          <w:ilvl w:val="0"/>
          <w:numId w:val="4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6B7F26">
        <w:rPr>
          <w:rFonts w:ascii="Museo Sans 300" w:hAnsi="Museo Sans 300" w:cstheme="minorHAnsi"/>
          <w:iCs/>
          <w:sz w:val="22"/>
          <w:szCs w:val="22"/>
          <w:lang w:val="es-419"/>
        </w:rPr>
        <w:t>Rehabilitación de Centros Educativos afectados por la Tormenta Tropical Julia, a nivel nacional</w:t>
      </w:r>
      <w:r>
        <w:rPr>
          <w:rFonts w:ascii="Museo Sans 300" w:hAnsi="Museo Sans 300" w:cstheme="minorHAnsi"/>
          <w:iCs/>
          <w:sz w:val="22"/>
          <w:szCs w:val="22"/>
          <w:lang w:val="es-419"/>
        </w:rPr>
        <w:t>.</w:t>
      </w:r>
    </w:p>
    <w:p w14:paraId="08616C02" w14:textId="77777777" w:rsidR="00902C2A" w:rsidRPr="0001362C" w:rsidRDefault="00D508CB" w:rsidP="00902C2A">
      <w:p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t>CEL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:</w:t>
      </w:r>
    </w:p>
    <w:p w14:paraId="01C206F0" w14:textId="77777777" w:rsidR="00902C2A" w:rsidRPr="0001362C" w:rsidRDefault="00D508CB" w:rsidP="00902C2A">
      <w:pPr>
        <w:pStyle w:val="Prrafodelista"/>
        <w:numPr>
          <w:ilvl w:val="0"/>
          <w:numId w:val="7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Instalación de una Planta de Generación Eléctrica con Biogás en el Río Acelhuate, </w:t>
      </w:r>
    </w:p>
    <w:p w14:paraId="44781F0D" w14:textId="7AF0D6B3" w:rsidR="00D508CB" w:rsidRDefault="00D508CB" w:rsidP="00902C2A">
      <w:pPr>
        <w:pStyle w:val="Prrafodelista"/>
        <w:numPr>
          <w:ilvl w:val="0"/>
          <w:numId w:val="7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Programa de Acceso Universal a la Energía en El Salvador.</w:t>
      </w:r>
    </w:p>
    <w:p w14:paraId="04697882" w14:textId="13CD03A6" w:rsidR="007F0270" w:rsidRDefault="007F0270" w:rsidP="007F0270">
      <w:p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</w:p>
    <w:p w14:paraId="3B11C010" w14:textId="77777777" w:rsidR="007F0270" w:rsidRPr="007F0270" w:rsidRDefault="007F0270" w:rsidP="007F0270">
      <w:p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</w:p>
    <w:p w14:paraId="446E96F6" w14:textId="77777777" w:rsidR="00902C2A" w:rsidRPr="0001362C" w:rsidRDefault="00D508CB" w:rsidP="00902C2A">
      <w:p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b/>
          <w:iCs/>
          <w:sz w:val="22"/>
          <w:szCs w:val="22"/>
          <w:lang w:val="es-419"/>
        </w:rPr>
        <w:lastRenderedPageBreak/>
        <w:t>CEPA</w:t>
      </w: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 xml:space="preserve">: </w:t>
      </w:r>
    </w:p>
    <w:p w14:paraId="0B4DE73F" w14:textId="77777777" w:rsidR="00902C2A" w:rsidRPr="0001362C" w:rsidRDefault="00D508CB" w:rsidP="00902C2A">
      <w:pPr>
        <w:pStyle w:val="Prrafodelista"/>
        <w:numPr>
          <w:ilvl w:val="0"/>
          <w:numId w:val="8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Construcción y equipamiento del Aeropuerto Internacional del Pacífico, departamento de La Unión,</w:t>
      </w:r>
    </w:p>
    <w:p w14:paraId="33F53960" w14:textId="3204B68F" w:rsidR="00D508CB" w:rsidRDefault="00D508CB" w:rsidP="00902C2A">
      <w:pPr>
        <w:pStyle w:val="Prrafodelista"/>
        <w:numPr>
          <w:ilvl w:val="0"/>
          <w:numId w:val="8"/>
        </w:numPr>
        <w:spacing w:before="240" w:after="240" w:line="276" w:lineRule="auto"/>
        <w:jc w:val="both"/>
        <w:rPr>
          <w:rFonts w:ascii="Museo Sans 300" w:hAnsi="Museo Sans 300" w:cstheme="minorHAnsi"/>
          <w:iCs/>
          <w:sz w:val="22"/>
          <w:szCs w:val="22"/>
          <w:lang w:val="es-419"/>
        </w:rPr>
      </w:pPr>
      <w:r w:rsidRPr="0001362C">
        <w:rPr>
          <w:rFonts w:ascii="Museo Sans 300" w:hAnsi="Museo Sans 300" w:cstheme="minorHAnsi"/>
          <w:iCs/>
          <w:sz w:val="22"/>
          <w:szCs w:val="22"/>
          <w:lang w:val="es-419"/>
        </w:rPr>
        <w:t>Ampliación del área de registro de pasajeros del Aeropuerto Internacional de El Salvador, San Óscar Arnulfo Romero y Galdámez.</w:t>
      </w:r>
    </w:p>
    <w:p w14:paraId="749C5277" w14:textId="07862811" w:rsidR="000E7ED7" w:rsidRPr="0001362C" w:rsidRDefault="007B011D" w:rsidP="007C00E1">
      <w:pPr>
        <w:pStyle w:val="Ttulo4"/>
        <w:spacing w:line="360" w:lineRule="auto"/>
        <w:rPr>
          <w:rFonts w:ascii="Museo Sans 300" w:hAnsi="Museo Sans 300" w:cstheme="minorHAnsi"/>
          <w:i w:val="0"/>
          <w:szCs w:val="22"/>
          <w:lang w:val="es-419"/>
        </w:rPr>
      </w:pPr>
      <w:r>
        <w:rPr>
          <w:rFonts w:ascii="Museo Sans 300" w:hAnsi="Museo Sans 300" w:cstheme="minorHAnsi"/>
          <w:szCs w:val="22"/>
          <w:lang w:val="es-419"/>
        </w:rPr>
        <w:t>Inversión</w:t>
      </w:r>
      <w:r w:rsidR="00AF4809" w:rsidRPr="0001362C">
        <w:rPr>
          <w:rFonts w:ascii="Museo Sans 300" w:hAnsi="Museo Sans 300" w:cstheme="minorHAnsi"/>
          <w:szCs w:val="22"/>
          <w:lang w:val="es-MX"/>
        </w:rPr>
        <w:t xml:space="preserve"> por Sectores de Actividad</w:t>
      </w:r>
    </w:p>
    <w:p w14:paraId="2C14A79A" w14:textId="0529D66B" w:rsidR="00AF4809" w:rsidRPr="0001362C" w:rsidRDefault="00AF4809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Por sectores de actividad, la inversión </w:t>
      </w:r>
      <w:r w:rsidRPr="0001362C">
        <w:rPr>
          <w:rFonts w:ascii="Museo Sans 300" w:hAnsi="Museo Sans 300" w:cstheme="minorHAnsi"/>
          <w:b/>
          <w:sz w:val="22"/>
          <w:szCs w:val="22"/>
          <w:lang w:val="es-MX"/>
        </w:rPr>
        <w:t>en el sector Desarrollo Económico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ejecutó un total de $</w:t>
      </w:r>
      <w:r w:rsidR="00075E41">
        <w:rPr>
          <w:rFonts w:ascii="Museo Sans 300" w:hAnsi="Museo Sans 300" w:cstheme="minorHAnsi"/>
          <w:sz w:val="22"/>
          <w:szCs w:val="22"/>
          <w:lang w:val="es-MX"/>
        </w:rPr>
        <w:t>199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una participación de </w:t>
      </w:r>
      <w:r w:rsidR="00B554CC" w:rsidRPr="0001362C">
        <w:rPr>
          <w:rFonts w:ascii="Museo Sans 300" w:hAnsi="Museo Sans 300" w:cstheme="minorHAnsi"/>
          <w:sz w:val="22"/>
          <w:szCs w:val="22"/>
          <w:lang w:val="es-MX"/>
        </w:rPr>
        <w:t>2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5.1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 la inversión total, destacando los recursos destinados al subsector de Transporte y Almacenaje con $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178.2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con una participación del </w:t>
      </w:r>
      <w:r w:rsidR="00A9799B" w:rsidRPr="0001362C">
        <w:rPr>
          <w:rFonts w:ascii="Museo Sans 300" w:hAnsi="Museo Sans 300" w:cstheme="minorHAnsi"/>
          <w:sz w:val="22"/>
          <w:szCs w:val="22"/>
          <w:lang w:val="es-MX"/>
        </w:rPr>
        <w:t>2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2.4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entre otros, tal como se muestra en la tabla No. 4.</w:t>
      </w:r>
    </w:p>
    <w:p w14:paraId="2F6E88E7" w14:textId="77777777" w:rsidR="00AF4809" w:rsidRPr="00F22013" w:rsidRDefault="00AF4809" w:rsidP="00E61B3F">
      <w:pPr>
        <w:spacing w:line="276" w:lineRule="auto"/>
        <w:jc w:val="both"/>
        <w:rPr>
          <w:rFonts w:ascii="Museo Sans 300" w:hAnsi="Museo Sans 300" w:cstheme="minorHAnsi"/>
          <w:sz w:val="16"/>
          <w:szCs w:val="16"/>
          <w:lang w:val="es-MX"/>
        </w:rPr>
      </w:pPr>
    </w:p>
    <w:p w14:paraId="31858F92" w14:textId="272ED4CB" w:rsidR="000E7ED7" w:rsidRPr="00914E39" w:rsidRDefault="00A9799B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914E39">
        <w:rPr>
          <w:rFonts w:ascii="Museo Sans 300" w:hAnsi="Museo Sans 300" w:cstheme="minorHAnsi"/>
          <w:sz w:val="22"/>
          <w:szCs w:val="22"/>
          <w:lang w:val="es-MX"/>
        </w:rPr>
        <w:t>Tabla 4</w:t>
      </w:r>
      <w:r w:rsidR="000E7ED7" w:rsidRPr="00914E39">
        <w:rPr>
          <w:rFonts w:ascii="Museo Sans 300" w:hAnsi="Museo Sans 300" w:cstheme="minorHAnsi"/>
          <w:sz w:val="22"/>
          <w:szCs w:val="22"/>
          <w:lang w:val="es-MX"/>
        </w:rPr>
        <w:t xml:space="preserve">: Inversión Pública </w:t>
      </w:r>
      <w:r w:rsidR="00724E84" w:rsidRPr="00914E39">
        <w:rPr>
          <w:rFonts w:ascii="Museo Sans 300" w:hAnsi="Museo Sans 300" w:cstheme="minorHAnsi"/>
          <w:sz w:val="22"/>
          <w:szCs w:val="22"/>
          <w:lang w:val="es-MX"/>
        </w:rPr>
        <w:t xml:space="preserve">a </w:t>
      </w:r>
      <w:r w:rsidR="00145AA8" w:rsidRPr="00914E39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="000E7ED7" w:rsidRPr="00914E39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677617" w:rsidRPr="00914E39">
        <w:rPr>
          <w:rFonts w:ascii="Museo Sans 300" w:hAnsi="Museo Sans 300" w:cstheme="minorHAnsi"/>
          <w:sz w:val="22"/>
          <w:szCs w:val="22"/>
          <w:lang w:val="es-MX"/>
        </w:rPr>
        <w:t xml:space="preserve">por sectores </w:t>
      </w:r>
    </w:p>
    <w:p w14:paraId="6BE19AEB" w14:textId="6DBFAADA" w:rsidR="00AF4809" w:rsidRPr="00914E39" w:rsidRDefault="00AF4809" w:rsidP="00055C62">
      <w:pPr>
        <w:spacing w:after="240"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914E39">
        <w:rPr>
          <w:rFonts w:ascii="Museo Sans 300" w:hAnsi="Museo Sans 300" w:cstheme="minorHAnsi"/>
          <w:sz w:val="22"/>
          <w:szCs w:val="22"/>
          <w:lang w:val="es-MX"/>
        </w:rPr>
        <w:t>(En millones de $ y % de Participación)</w:t>
      </w:r>
    </w:p>
    <w:p w14:paraId="3DAFA38A" w14:textId="5352B59A" w:rsidR="007C30D9" w:rsidRDefault="007C30D9" w:rsidP="007C30D9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rFonts w:ascii="Museo Sans 300" w:hAnsi="Museo Sans 300" w:cstheme="minorHAnsi"/>
          <w:i/>
          <w:sz w:val="22"/>
          <w:szCs w:val="22"/>
          <w:lang w:val="es-MX"/>
        </w:rPr>
        <w:object w:dxaOrig="9477" w:dyaOrig="7452" w14:anchorId="7039D5E1">
          <v:shape id="_x0000_i1027" type="#_x0000_t75" style="width:361pt;height:284pt" o:ole="">
            <v:imagedata r:id="rId19" o:title=""/>
          </v:shape>
          <o:OLEObject Type="Embed" ProgID="Excel.Sheet.12" ShapeID="_x0000_i1027" DrawAspect="Content" ObjectID="_1828006724" r:id="rId20"/>
        </w:object>
      </w:r>
      <w:r w:rsidRPr="007C30D9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39F29C04" w14:textId="3301E79A" w:rsidR="007C30D9" w:rsidRDefault="007C30D9" w:rsidP="007C30D9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Asimismo, la inversión </w:t>
      </w:r>
      <w:r w:rsidRPr="0001362C">
        <w:rPr>
          <w:rFonts w:ascii="Museo Sans 300" w:hAnsi="Museo Sans 300" w:cstheme="minorHAnsi"/>
          <w:b/>
          <w:sz w:val="22"/>
          <w:szCs w:val="22"/>
          <w:lang w:val="es-MX"/>
        </w:rPr>
        <w:t>para el Desarrollo Social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ascendió a $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573.2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con una participación del 7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2.0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en la inversión total, destacándose Desarrollo Urbano y Comunal con $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319.2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 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40.1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total; Educación y Cultura $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188.9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con una participación de 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23.7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%; y Salud, $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42.5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equivalente a 5.</w:t>
      </w:r>
      <w:r w:rsidR="00E16CE8">
        <w:rPr>
          <w:rFonts w:ascii="Museo Sans 300" w:hAnsi="Museo Sans 300" w:cstheme="minorHAnsi"/>
          <w:sz w:val="22"/>
          <w:szCs w:val="22"/>
          <w:lang w:val="es-MX"/>
        </w:rPr>
        <w:t>3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entre otros.</w:t>
      </w:r>
    </w:p>
    <w:p w14:paraId="6B1EC4DA" w14:textId="1672CB18" w:rsidR="007F0270" w:rsidRDefault="007F0270" w:rsidP="007C30D9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4CE620C6" w14:textId="33842997" w:rsidR="007F0270" w:rsidRDefault="007F0270" w:rsidP="007C30D9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703C61A4" w14:textId="77777777" w:rsidR="007F0270" w:rsidRDefault="007F0270" w:rsidP="007C30D9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8EDA3B6" w14:textId="77777777" w:rsidR="007C30D9" w:rsidRDefault="007C30D9" w:rsidP="00D93C5E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5B780590" w14:textId="21D73A8B" w:rsidR="00AD50B4" w:rsidRPr="007C30D9" w:rsidRDefault="00465C72" w:rsidP="00D93C5E">
      <w:pPr>
        <w:spacing w:line="276" w:lineRule="auto"/>
        <w:jc w:val="both"/>
        <w:rPr>
          <w:rFonts w:ascii="Museo Sans 300" w:hAnsi="Museo Sans 300" w:cstheme="minorHAnsi"/>
          <w:b/>
          <w:sz w:val="22"/>
          <w:szCs w:val="22"/>
          <w:lang w:val="es-MX"/>
        </w:rPr>
      </w:pPr>
      <w:r w:rsidRPr="007C30D9">
        <w:rPr>
          <w:rFonts w:ascii="Museo Sans 300" w:hAnsi="Museo Sans 300" w:cstheme="minorHAnsi"/>
          <w:b/>
          <w:sz w:val="22"/>
          <w:szCs w:val="22"/>
          <w:lang w:val="es-MX"/>
        </w:rPr>
        <w:lastRenderedPageBreak/>
        <w:t>3.</w:t>
      </w:r>
      <w:r w:rsidR="00AD50B4" w:rsidRPr="007C30D9">
        <w:rPr>
          <w:rFonts w:ascii="Museo Sans 300" w:hAnsi="Museo Sans 300" w:cstheme="minorHAnsi"/>
          <w:b/>
          <w:sz w:val="22"/>
          <w:szCs w:val="22"/>
          <w:lang w:val="es-MX"/>
        </w:rPr>
        <w:t xml:space="preserve"> Deuda del SPNF</w:t>
      </w:r>
    </w:p>
    <w:p w14:paraId="138D659D" w14:textId="77777777" w:rsidR="00F22013" w:rsidRPr="00F22013" w:rsidRDefault="00F22013" w:rsidP="00055C62">
      <w:pPr>
        <w:spacing w:after="240" w:line="276" w:lineRule="auto"/>
        <w:jc w:val="both"/>
        <w:rPr>
          <w:rFonts w:ascii="Museo Sans 300" w:hAnsi="Museo Sans 300" w:cstheme="minorHAnsi"/>
          <w:sz w:val="16"/>
          <w:szCs w:val="16"/>
          <w:lang w:val="es-MX"/>
        </w:rPr>
      </w:pPr>
      <w:bookmarkStart w:id="46" w:name="_Hlk128489649"/>
      <w:bookmarkStart w:id="47" w:name="_Hlk121213031"/>
    </w:p>
    <w:p w14:paraId="3F255B2E" w14:textId="5E08D2D7" w:rsidR="00B172C6" w:rsidRDefault="00AD50B4" w:rsidP="00055C62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 deuda del SPNF sin</w:t>
      </w:r>
      <w:r w:rsidR="00B172C6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FA2DBA" w:rsidRPr="0001362C">
        <w:rPr>
          <w:rFonts w:ascii="Museo Sans 300" w:hAnsi="Museo Sans 300" w:cstheme="minorHAnsi"/>
          <w:sz w:val="22"/>
          <w:szCs w:val="22"/>
          <w:lang w:val="es-MX"/>
        </w:rPr>
        <w:t>incluir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pensiones 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="00724E8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ascendió a $</w:t>
      </w:r>
      <w:r w:rsidR="004B5B4E" w:rsidRPr="0001362C">
        <w:rPr>
          <w:rFonts w:ascii="Museo Sans 300" w:hAnsi="Museo Sans 300" w:cstheme="minorHAnsi"/>
          <w:sz w:val="22"/>
          <w:szCs w:val="22"/>
          <w:lang w:val="es-MX"/>
        </w:rPr>
        <w:t>20,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869.7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equivalentes a 5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</w:t>
      </w:r>
      <w:r w:rsidR="00677617"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Dicho saldo está compuesto por $1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3,699.2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que corresponden a deuda externa, equivalente a 3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7.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 y $7,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170.6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correspondientes a deuda interna, representando el 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19.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6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% del PIB</w:t>
      </w:r>
      <w:r w:rsidR="009920F5">
        <w:rPr>
          <w:rFonts w:ascii="Museo Sans 300" w:hAnsi="Museo Sans 300" w:cstheme="minorHAnsi"/>
          <w:sz w:val="22"/>
          <w:szCs w:val="22"/>
          <w:lang w:val="es-MX"/>
        </w:rPr>
        <w:t>.</w:t>
      </w:r>
      <w:r w:rsidR="00812726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La Deuda del SPNF incluyendo las obligaciones previsionales suma </w:t>
      </w:r>
      <w:r w:rsidR="00B172C6" w:rsidRPr="0001362C">
        <w:rPr>
          <w:rFonts w:ascii="Museo Sans 300" w:hAnsi="Museo Sans 300" w:cstheme="minorHAnsi"/>
          <w:sz w:val="22"/>
          <w:szCs w:val="22"/>
          <w:lang w:val="es-MX"/>
        </w:rPr>
        <w:t>$31,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746.5</w:t>
      </w:r>
      <w:r w:rsidR="00B172C6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</w:t>
      </w:r>
      <w:r w:rsidR="00677617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equivalente a </w:t>
      </w:r>
      <w:r w:rsidR="00B172C6" w:rsidRPr="002D6257">
        <w:rPr>
          <w:rFonts w:ascii="Museo Sans 300" w:hAnsi="Museo Sans 300" w:cstheme="minorHAnsi"/>
          <w:sz w:val="22"/>
          <w:szCs w:val="22"/>
          <w:lang w:val="es-MX"/>
        </w:rPr>
        <w:t>8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>6.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7</w:t>
      </w:r>
      <w:r w:rsidR="00B172C6" w:rsidRPr="002D6257">
        <w:rPr>
          <w:rFonts w:ascii="Museo Sans 300" w:hAnsi="Museo Sans 300" w:cstheme="minorHAnsi"/>
          <w:sz w:val="22"/>
          <w:szCs w:val="22"/>
          <w:lang w:val="es-MX"/>
        </w:rPr>
        <w:t>% del PIB</w:t>
      </w:r>
      <w:r w:rsidR="00E478F9">
        <w:rPr>
          <w:rFonts w:ascii="Museo Sans 300" w:hAnsi="Museo Sans 300" w:cstheme="minorHAnsi"/>
          <w:sz w:val="22"/>
          <w:szCs w:val="22"/>
          <w:lang w:val="es-MX"/>
        </w:rPr>
        <w:t>;</w:t>
      </w:r>
      <w:r w:rsidR="00677617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E478F9" w:rsidRPr="00EE503B">
        <w:rPr>
          <w:rFonts w:ascii="Museo Sans 300" w:hAnsi="Museo Sans 300" w:cstheme="minorHAnsi"/>
          <w:sz w:val="22"/>
          <w:szCs w:val="22"/>
          <w:lang w:val="es-MX"/>
        </w:rPr>
        <w:t>lo que representa un ascenso de 2.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8</w:t>
      </w:r>
      <w:r w:rsidR="00E478F9"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puntos porcentual con respecto al saldo registrado en junio de 2024</w:t>
      </w:r>
      <w:r w:rsidR="00BF044B" w:rsidRPr="00EE503B">
        <w:rPr>
          <w:rFonts w:ascii="Museo Sans 300" w:hAnsi="Museo Sans 300" w:cstheme="minorHAnsi"/>
          <w:sz w:val="22"/>
          <w:szCs w:val="22"/>
          <w:lang w:val="es-MX"/>
        </w:rPr>
        <w:t>.</w:t>
      </w:r>
    </w:p>
    <w:p w14:paraId="35F782DC" w14:textId="2B184B2D" w:rsidR="008451A1" w:rsidRPr="008451A1" w:rsidRDefault="00F22013" w:rsidP="008451A1">
      <w:pPr>
        <w:spacing w:line="276" w:lineRule="auto"/>
        <w:ind w:right="-32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rFonts w:ascii="Museo Sans 300" w:hAnsi="Museo Sans 300" w:cstheme="minorHAnsi"/>
          <w:sz w:val="22"/>
          <w:szCs w:val="22"/>
          <w:lang w:val="es-MX"/>
        </w:rPr>
        <w:t xml:space="preserve">Tabla 5: </w:t>
      </w:r>
      <w:r w:rsidR="008451A1" w:rsidRPr="008451A1">
        <w:rPr>
          <w:rFonts w:ascii="Museo Sans 300" w:hAnsi="Museo Sans 300" w:cstheme="minorHAnsi"/>
          <w:sz w:val="22"/>
          <w:szCs w:val="22"/>
          <w:lang w:val="es-MX"/>
        </w:rPr>
        <w:t xml:space="preserve">Saldo de la Deuda del SPNF al mes de </w:t>
      </w:r>
      <w:proofErr w:type="gramStart"/>
      <w:r w:rsidR="008451A1" w:rsidRPr="008451A1">
        <w:rPr>
          <w:rFonts w:ascii="Museo Sans 300" w:hAnsi="Museo Sans 300" w:cstheme="minorHAnsi"/>
          <w:sz w:val="22"/>
          <w:szCs w:val="22"/>
          <w:lang w:val="es-MX"/>
        </w:rPr>
        <w:t>Junio</w:t>
      </w:r>
      <w:proofErr w:type="gramEnd"/>
      <w:r w:rsidR="008451A1" w:rsidRPr="008451A1">
        <w:rPr>
          <w:rFonts w:ascii="Museo Sans 300" w:hAnsi="Museo Sans 300" w:cstheme="minorHAnsi"/>
          <w:sz w:val="22"/>
          <w:szCs w:val="22"/>
          <w:lang w:val="es-MX"/>
        </w:rPr>
        <w:t xml:space="preserve"> de 2025</w:t>
      </w:r>
    </w:p>
    <w:p w14:paraId="7364047D" w14:textId="77777777" w:rsidR="008451A1" w:rsidRPr="008451A1" w:rsidRDefault="008451A1" w:rsidP="008451A1">
      <w:pPr>
        <w:spacing w:line="276" w:lineRule="auto"/>
        <w:ind w:right="-32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8451A1">
        <w:rPr>
          <w:rFonts w:ascii="Museo Sans 300" w:hAnsi="Museo Sans 300" w:cstheme="minorHAnsi"/>
          <w:sz w:val="22"/>
          <w:szCs w:val="22"/>
          <w:lang w:val="es-MX"/>
        </w:rPr>
        <w:t xml:space="preserve">  En Millones de $ y % del PIB</w:t>
      </w:r>
    </w:p>
    <w:bookmarkStart w:id="48" w:name="_MON_1818225139"/>
    <w:bookmarkEnd w:id="48"/>
    <w:p w14:paraId="23DBCC90" w14:textId="41D766E2" w:rsidR="00BF044B" w:rsidRDefault="00AF33D6" w:rsidP="00055C62">
      <w:pPr>
        <w:spacing w:after="240" w:line="276" w:lineRule="auto"/>
        <w:jc w:val="both"/>
        <w:rPr>
          <w:rFonts w:ascii="Museo Sans 300" w:hAnsi="Museo Sans 300" w:cstheme="minorHAnsi"/>
          <w:color w:val="FF0000"/>
          <w:sz w:val="22"/>
          <w:szCs w:val="22"/>
          <w:lang w:val="es-MX"/>
        </w:rPr>
      </w:pPr>
      <w:r>
        <w:rPr>
          <w:rFonts w:ascii="Museo Sans 300" w:hAnsi="Museo Sans 300" w:cstheme="minorHAnsi"/>
          <w:color w:val="FF0000"/>
          <w:sz w:val="22"/>
          <w:szCs w:val="22"/>
          <w:lang w:val="es-MX"/>
        </w:rPr>
        <w:object w:dxaOrig="16167" w:dyaOrig="4413" w14:anchorId="52167822">
          <v:shape id="_x0000_i1028" type="#_x0000_t75" style="width:441pt;height:120pt" o:ole="">
            <v:imagedata r:id="rId21" o:title=""/>
          </v:shape>
          <o:OLEObject Type="Embed" ProgID="Excel.Sheet.12" ShapeID="_x0000_i1028" DrawAspect="Content" ObjectID="_1828006725" r:id="rId22"/>
        </w:object>
      </w:r>
    </w:p>
    <w:p w14:paraId="1727C383" w14:textId="77777777" w:rsidR="00AD50B4" w:rsidRPr="0001362C" w:rsidRDefault="00AD50B4" w:rsidP="007C00E1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49" w:name="_Toc169162417"/>
      <w:bookmarkStart w:id="50" w:name="_Toc207711202"/>
      <w:r w:rsidRPr="0001362C">
        <w:rPr>
          <w:rFonts w:ascii="Museo Sans 300" w:hAnsi="Museo Sans 300" w:cstheme="minorHAnsi"/>
          <w:szCs w:val="22"/>
          <w:lang w:val="es-MX"/>
        </w:rPr>
        <w:t>3.1 Deuda Interna</w:t>
      </w:r>
      <w:bookmarkEnd w:id="49"/>
      <w:bookmarkEnd w:id="50"/>
    </w:p>
    <w:p w14:paraId="6B843D39" w14:textId="7B451F87" w:rsidR="00AD50B4" w:rsidRPr="005F3B55" w:rsidRDefault="00AD50B4" w:rsidP="00055C62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 composición del saldo de deuda interna se distribuye así: Bonos cuyo saldo asciende a $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4,581.9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millones; $1,</w:t>
      </w:r>
      <w:r w:rsidR="007B7CA2" w:rsidRPr="0001362C">
        <w:rPr>
          <w:rFonts w:ascii="Museo Sans 300" w:hAnsi="Museo Sans 300" w:cstheme="minorHAnsi"/>
          <w:sz w:val="22"/>
          <w:szCs w:val="22"/>
          <w:lang w:val="es-MX"/>
        </w:rPr>
        <w:t>1</w:t>
      </w:r>
      <w:r w:rsidR="00B154E6">
        <w:rPr>
          <w:rFonts w:ascii="Museo Sans 300" w:hAnsi="Museo Sans 300" w:cstheme="minorHAnsi"/>
          <w:sz w:val="22"/>
          <w:szCs w:val="22"/>
          <w:lang w:val="es-MX"/>
        </w:rPr>
        <w:t xml:space="preserve">82.6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millones corresponden a LETES; $25</w:t>
      </w:r>
      <w:r w:rsidR="007B7CA2" w:rsidRPr="0001362C">
        <w:rPr>
          <w:rFonts w:ascii="Museo Sans 300" w:hAnsi="Museo Sans 300" w:cstheme="minorHAnsi"/>
          <w:sz w:val="22"/>
          <w:szCs w:val="22"/>
          <w:lang w:val="es-MX"/>
        </w:rPr>
        <w:t>3.1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a CETES; BCR, </w:t>
      </w:r>
      <w:r w:rsidRPr="00A75BEB">
        <w:rPr>
          <w:rFonts w:ascii="Museo Sans 300" w:hAnsi="Museo Sans 300" w:cstheme="minorHAnsi"/>
          <w:sz w:val="22"/>
          <w:szCs w:val="22"/>
          <w:lang w:val="es-MX"/>
        </w:rPr>
        <w:t>con $1,0</w:t>
      </w:r>
      <w:r w:rsidR="00E53572" w:rsidRPr="00A75BEB">
        <w:rPr>
          <w:rFonts w:ascii="Museo Sans 300" w:hAnsi="Museo Sans 300" w:cstheme="minorHAnsi"/>
          <w:sz w:val="22"/>
          <w:szCs w:val="22"/>
          <w:lang w:val="es-MX"/>
        </w:rPr>
        <w:t>82.1</w:t>
      </w:r>
      <w:r w:rsidRPr="00A75BEB">
        <w:rPr>
          <w:rFonts w:ascii="Museo Sans 300" w:hAnsi="Museo Sans 300" w:cstheme="minorHAnsi"/>
          <w:sz w:val="22"/>
          <w:szCs w:val="22"/>
          <w:lang w:val="es-MX"/>
        </w:rPr>
        <w:t xml:space="preserve"> millones (Bonos conversión y consolidación deuda GOES-BCR y Bonos DEG GOES-BCR) y otros con $</w:t>
      </w:r>
      <w:r w:rsidR="00A75BEB" w:rsidRPr="00A75BEB">
        <w:rPr>
          <w:rFonts w:ascii="Museo Sans 300" w:hAnsi="Museo Sans 300" w:cstheme="minorHAnsi"/>
          <w:sz w:val="22"/>
          <w:szCs w:val="22"/>
          <w:lang w:val="es-MX"/>
        </w:rPr>
        <w:t>70.9</w:t>
      </w:r>
      <w:r w:rsidRPr="00A75BEB">
        <w:rPr>
          <w:rFonts w:ascii="Museo Sans 300" w:hAnsi="Museo Sans 300" w:cstheme="minorHAnsi"/>
          <w:sz w:val="22"/>
          <w:szCs w:val="22"/>
          <w:lang w:val="es-MX"/>
        </w:rPr>
        <w:t xml:space="preserve"> millones</w:t>
      </w:r>
      <w:r w:rsidRPr="005F3B55">
        <w:rPr>
          <w:rFonts w:ascii="Museo Sans 300" w:hAnsi="Museo Sans 300" w:cstheme="minorHAnsi"/>
          <w:sz w:val="22"/>
          <w:szCs w:val="22"/>
          <w:lang w:val="es-MX"/>
        </w:rPr>
        <w:t>.</w:t>
      </w:r>
      <w:bookmarkStart w:id="51" w:name="_Toc169162418"/>
      <w:bookmarkEnd w:id="46"/>
      <w:r w:rsidR="00E478F9" w:rsidRPr="005F3B55">
        <w:rPr>
          <w:rFonts w:ascii="Museo Sans 100" w:hAnsi="Museo Sans 100" w:cs="Arial"/>
          <w:i/>
          <w:iCs/>
          <w:sz w:val="22"/>
          <w:szCs w:val="22"/>
          <w:lang w:val="es-MX"/>
        </w:rPr>
        <w:t xml:space="preserve"> </w:t>
      </w:r>
      <w:r w:rsidR="00E478F9" w:rsidRPr="005F3B55">
        <w:rPr>
          <w:rFonts w:ascii="Museo Sans 300" w:hAnsi="Museo Sans 300" w:cstheme="minorHAnsi"/>
          <w:sz w:val="22"/>
          <w:szCs w:val="22"/>
          <w:lang w:val="es-MX"/>
        </w:rPr>
        <w:t>Al incluir el saldo de Certificados de Financiamiento de Transición (CFT) por $8,394.8 millones los cuales representan un 22.9% del PIB y el saldo de Certificados de Obligaciones Previsionales (COP) por $2,482.0 millones los cuales representan un 6.8% del PIB la deuda interna asciende a $</w:t>
      </w:r>
      <w:r w:rsidR="00F44758" w:rsidRPr="005F3B55">
        <w:rPr>
          <w:rFonts w:ascii="Museo Sans 300" w:hAnsi="Museo Sans 300" w:cstheme="minorHAnsi"/>
          <w:sz w:val="22"/>
          <w:szCs w:val="22"/>
          <w:lang w:val="es-MX"/>
        </w:rPr>
        <w:t>18,047.</w:t>
      </w:r>
      <w:r w:rsidR="00EE503B" w:rsidRPr="005F3B55">
        <w:rPr>
          <w:rFonts w:ascii="Museo Sans 300" w:hAnsi="Museo Sans 300" w:cstheme="minorHAnsi"/>
          <w:sz w:val="22"/>
          <w:szCs w:val="22"/>
          <w:lang w:val="es-MX"/>
        </w:rPr>
        <w:t>4</w:t>
      </w:r>
      <w:r w:rsidR="00E478F9" w:rsidRPr="005F3B55">
        <w:rPr>
          <w:rFonts w:ascii="Museo Sans 300" w:hAnsi="Museo Sans 300" w:cstheme="minorHAnsi"/>
          <w:sz w:val="22"/>
          <w:szCs w:val="22"/>
          <w:lang w:val="es-MX"/>
        </w:rPr>
        <w:t xml:space="preserve"> millones.</w:t>
      </w:r>
    </w:p>
    <w:p w14:paraId="4B2D9C3B" w14:textId="77777777" w:rsidR="00AD50B4" w:rsidRPr="0001362C" w:rsidRDefault="00AD50B4" w:rsidP="007C00E1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52" w:name="_Toc207711203"/>
      <w:r w:rsidRPr="0001362C">
        <w:rPr>
          <w:rFonts w:ascii="Museo Sans 300" w:hAnsi="Museo Sans 300" w:cstheme="minorHAnsi"/>
          <w:szCs w:val="22"/>
          <w:lang w:val="es-MX"/>
        </w:rPr>
        <w:t>3.2 Deuda externa</w:t>
      </w:r>
      <w:bookmarkEnd w:id="51"/>
      <w:bookmarkEnd w:id="52"/>
    </w:p>
    <w:p w14:paraId="2FCF6C42" w14:textId="540DCB7F" w:rsidR="00AD50B4" w:rsidRPr="0001362C" w:rsidRDefault="00AD50B4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El saldo de la deuda externa está compuesto de la siguiente manera: Instituciones multilaterales, con $</w:t>
      </w:r>
      <w:r w:rsidR="00BF044B">
        <w:rPr>
          <w:rFonts w:ascii="Museo Sans 300" w:hAnsi="Museo Sans 300" w:cstheme="minorHAnsi"/>
          <w:sz w:val="22"/>
          <w:szCs w:val="22"/>
          <w:lang w:val="es-MX"/>
        </w:rPr>
        <w:t>7,141.9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destacándose 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>el BCIE con un saldo de $2,7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46.</w:t>
      </w:r>
      <w:r w:rsidR="007C30D9">
        <w:rPr>
          <w:rFonts w:ascii="Museo Sans 300" w:hAnsi="Museo Sans 300" w:cstheme="minorHAnsi"/>
          <w:sz w:val="22"/>
          <w:szCs w:val="22"/>
          <w:lang w:val="es-MX"/>
        </w:rPr>
        <w:t>8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millones, el BID con $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2,428.3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millones; y el BIRF con $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1,015.6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7C30D9">
        <w:rPr>
          <w:rFonts w:ascii="Museo Sans 300" w:hAnsi="Museo Sans 300" w:cstheme="minorHAnsi"/>
          <w:sz w:val="22"/>
          <w:szCs w:val="22"/>
          <w:lang w:val="es-MX"/>
        </w:rPr>
        <w:t>millones, entre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otros. </w:t>
      </w:r>
    </w:p>
    <w:p w14:paraId="4378FE3D" w14:textId="77777777" w:rsidR="00FE63F6" w:rsidRPr="0001362C" w:rsidRDefault="00FE63F6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</w:p>
    <w:p w14:paraId="7641B571" w14:textId="45ADC830" w:rsidR="004B1D41" w:rsidRPr="00EE503B" w:rsidRDefault="004B1D41" w:rsidP="004B1D41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t>La deuda bilateral ascendió a $3</w:t>
      </w:r>
      <w:r w:rsidR="00BF044B">
        <w:rPr>
          <w:rFonts w:ascii="Museo Sans 300" w:hAnsi="Museo Sans 300" w:cstheme="minorHAnsi"/>
          <w:sz w:val="22"/>
          <w:szCs w:val="22"/>
          <w:lang w:val="es-MX"/>
        </w:rPr>
        <w:t>73.2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>sobresaliendo Japón con un saldo de $16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4.1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millones, Alemania con $7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8.0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millones, entre otros.</w:t>
      </w:r>
    </w:p>
    <w:p w14:paraId="74E69401" w14:textId="577ABDF9" w:rsidR="00FB6DA8" w:rsidRDefault="004B1D41" w:rsidP="004B1D41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EE503B">
        <w:rPr>
          <w:rFonts w:ascii="Museo Sans 300" w:hAnsi="Museo Sans 300" w:cstheme="minorHAnsi"/>
          <w:sz w:val="22"/>
          <w:szCs w:val="22"/>
          <w:lang w:val="es-MX"/>
        </w:rPr>
        <w:t>Finalmente, los eurobonos en poder de no residentes (deuda comercial) ascendieron a $6,</w:t>
      </w:r>
      <w:r w:rsidR="00EE503B" w:rsidRPr="00EE503B">
        <w:rPr>
          <w:rFonts w:ascii="Museo Sans 300" w:hAnsi="Museo Sans 300" w:cstheme="minorHAnsi"/>
          <w:sz w:val="22"/>
          <w:szCs w:val="22"/>
          <w:lang w:val="es-MX"/>
        </w:rPr>
        <w:t>184.1</w:t>
      </w:r>
      <w:r w:rsidRPr="00EE503B">
        <w:rPr>
          <w:rFonts w:ascii="Museo Sans 300" w:hAnsi="Museo Sans 300" w:cstheme="minorHAnsi"/>
          <w:sz w:val="22"/>
          <w:szCs w:val="22"/>
          <w:lang w:val="es-MX"/>
        </w:rPr>
        <w:t xml:space="preserve"> millones. Di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cho saldo incluye la Estrategia de manejo de pasivos que se desarrolló durante el año 2024, donde se realizaron tres operaciones ejecutada durante los meses de abril, octubre y noviembre, con todas estas operaciones se han recomprado bonos de diferentes vencimientos y se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lastRenderedPageBreak/>
        <w:t xml:space="preserve">ha suavizado el perfil de la deuda soberana, reduciendo sustancialmente el riesgo de refinanciamiento y las presiones fiscales de corto plazo. </w:t>
      </w:r>
    </w:p>
    <w:p w14:paraId="61EE3F9A" w14:textId="7BB61C83" w:rsidR="006B7F26" w:rsidRPr="002C44E0" w:rsidRDefault="006B7F26" w:rsidP="002C44E0">
      <w:pPr>
        <w:pStyle w:val="Ttulo3"/>
        <w:spacing w:line="480" w:lineRule="auto"/>
        <w:rPr>
          <w:rFonts w:ascii="Museo Sans 300" w:hAnsi="Museo Sans 300" w:cstheme="minorHAnsi"/>
          <w:szCs w:val="22"/>
          <w:lang w:val="es-MX"/>
        </w:rPr>
      </w:pPr>
      <w:bookmarkStart w:id="53" w:name="_Toc207711204"/>
      <w:r w:rsidRPr="002C44E0">
        <w:rPr>
          <w:rFonts w:ascii="Museo Sans 300" w:hAnsi="Museo Sans 300" w:cstheme="minorHAnsi"/>
          <w:szCs w:val="22"/>
          <w:lang w:val="es-MX"/>
        </w:rPr>
        <w:t>3.3 Servicio de la Deuda</w:t>
      </w:r>
      <w:bookmarkEnd w:id="53"/>
      <w:r w:rsidRPr="002C44E0">
        <w:rPr>
          <w:rFonts w:ascii="Museo Sans 300" w:hAnsi="Museo Sans 300" w:cstheme="minorHAnsi"/>
          <w:szCs w:val="22"/>
          <w:lang w:val="es-MX"/>
        </w:rPr>
        <w:t xml:space="preserve"> </w:t>
      </w:r>
    </w:p>
    <w:p w14:paraId="15EA2157" w14:textId="77777777" w:rsidR="006B7F26" w:rsidRPr="006B7F26" w:rsidRDefault="006B7F26" w:rsidP="00771B8E">
      <w:pPr>
        <w:spacing w:after="240"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771B8E">
        <w:rPr>
          <w:rFonts w:ascii="Museo Sans 300" w:hAnsi="Museo Sans 300" w:cstheme="minorHAnsi"/>
          <w:sz w:val="22"/>
          <w:szCs w:val="22"/>
          <w:lang w:val="es-MX"/>
        </w:rPr>
        <w:t xml:space="preserve">El servicio de deuda del SPNF al mes de </w:t>
      </w:r>
      <w:proofErr w:type="gramStart"/>
      <w:r w:rsidRPr="00771B8E">
        <w:rPr>
          <w:rFonts w:ascii="Museo Sans 300" w:hAnsi="Museo Sans 300" w:cstheme="minorHAnsi"/>
          <w:sz w:val="22"/>
          <w:szCs w:val="22"/>
          <w:lang w:val="es-MX"/>
        </w:rPr>
        <w:t>Junio</w:t>
      </w:r>
      <w:proofErr w:type="gramEnd"/>
      <w:r w:rsidRPr="00771B8E">
        <w:rPr>
          <w:rFonts w:ascii="Museo Sans 300" w:hAnsi="Museo Sans 300" w:cstheme="minorHAnsi"/>
          <w:sz w:val="22"/>
          <w:szCs w:val="22"/>
          <w:lang w:val="es-MX"/>
        </w:rPr>
        <w:t xml:space="preserve"> 2025 ascendió a un valor de $2,739.1 millones, de los cuales corresponde a las amortizaciones $1,852.3 millones. Dentro de este valor le corresponde a la deuda de corto plazo (LETES Y CETES) un valor de $719.8 millones (principalmente </w:t>
      </w:r>
      <w:proofErr w:type="spellStart"/>
      <w:r w:rsidRPr="00771B8E">
        <w:rPr>
          <w:rFonts w:ascii="Museo Sans 300" w:hAnsi="Museo Sans 300" w:cstheme="minorHAnsi"/>
          <w:sz w:val="22"/>
          <w:szCs w:val="22"/>
          <w:lang w:val="es-MX"/>
        </w:rPr>
        <w:t>rollover</w:t>
      </w:r>
      <w:proofErr w:type="spellEnd"/>
      <w:r w:rsidRPr="00771B8E">
        <w:rPr>
          <w:rFonts w:ascii="Museo Sans 300" w:hAnsi="Museo Sans 300" w:cstheme="minorHAnsi"/>
          <w:sz w:val="22"/>
          <w:szCs w:val="22"/>
          <w:lang w:val="es-MX"/>
        </w:rPr>
        <w:t>). Por su parte, las amortizaciones efectuadas a bonos, COP´S y préstamos de mediano y largo plazo ascendieron a $1,132.6 millones</w:t>
      </w:r>
      <w:r w:rsidRPr="006B7F26">
        <w:rPr>
          <w:rFonts w:ascii="Museo Sans 300" w:hAnsi="Museo Sans 300" w:cstheme="minorHAnsi"/>
          <w:sz w:val="22"/>
          <w:szCs w:val="22"/>
          <w:lang w:val="es-MX"/>
        </w:rPr>
        <w:t xml:space="preserve">. </w:t>
      </w:r>
    </w:p>
    <w:p w14:paraId="520DCE3C" w14:textId="77777777" w:rsidR="006B7F26" w:rsidRPr="00F22013" w:rsidRDefault="006B7F26" w:rsidP="006B7F26">
      <w:pPr>
        <w:spacing w:line="276" w:lineRule="auto"/>
        <w:ind w:right="-32"/>
        <w:jc w:val="both"/>
        <w:outlineLvl w:val="0"/>
        <w:rPr>
          <w:rFonts w:ascii="Museo Sans 300" w:hAnsi="Museo Sans 300" w:cstheme="minorHAnsi"/>
          <w:sz w:val="16"/>
          <w:szCs w:val="16"/>
          <w:lang w:val="es-MX"/>
        </w:rPr>
      </w:pPr>
    </w:p>
    <w:p w14:paraId="41DF4706" w14:textId="1AD6DACB" w:rsidR="0091518B" w:rsidRPr="007F0270" w:rsidRDefault="006B7F26" w:rsidP="007F0270">
      <w:pPr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8451A1">
        <w:rPr>
          <w:rFonts w:ascii="Museo Sans 300" w:hAnsi="Museo Sans 300" w:cstheme="minorHAnsi"/>
          <w:sz w:val="22"/>
          <w:szCs w:val="22"/>
          <w:lang w:val="es-MX"/>
        </w:rPr>
        <w:t>El pago de intereses ascendió a $886.8 millones, de los cuales $61.1 millones corresponden a deuda de corto plazo y $825.7 millones corresponden a deuda de mediano y largo plazo que incluye $440.9 millones de Bonos internos y externos y $76.8 millones de COP.</w:t>
      </w:r>
    </w:p>
    <w:p w14:paraId="7FAB2E7D" w14:textId="77777777" w:rsidR="0091518B" w:rsidRDefault="0091518B" w:rsidP="004B1D41">
      <w:pPr>
        <w:spacing w:after="240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13BE30F8" w14:textId="7D2D0CDF" w:rsidR="00055C62" w:rsidRPr="0001362C" w:rsidRDefault="00055C62" w:rsidP="003C1660">
      <w:pPr>
        <w:spacing w:after="240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Gráfico 7: Saldo de la Deuda del SPNF 20</w:t>
      </w:r>
      <w:r w:rsidR="00FE63F6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–202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</w:p>
    <w:p w14:paraId="02696686" w14:textId="1BC4439C" w:rsidR="00055C62" w:rsidRPr="00806290" w:rsidRDefault="00055C62" w:rsidP="00055C62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</w:p>
    <w:p w14:paraId="1B7213DA" w14:textId="1B462BBC" w:rsidR="005F3B55" w:rsidRDefault="0061014D" w:rsidP="00AB40B1">
      <w:pPr>
        <w:pStyle w:val="Ttulo2"/>
        <w:spacing w:line="480" w:lineRule="auto"/>
        <w:jc w:val="center"/>
        <w:rPr>
          <w:rFonts w:ascii="Museo Sans 300" w:hAnsi="Museo Sans 300" w:cstheme="minorHAnsi"/>
          <w:szCs w:val="22"/>
          <w:lang w:val="es-MX"/>
        </w:rPr>
      </w:pPr>
      <w:bookmarkStart w:id="54" w:name="_Toc411843467"/>
      <w:bookmarkStart w:id="55" w:name="_Toc505951458"/>
      <w:bookmarkStart w:id="56" w:name="_Toc56581221"/>
      <w:bookmarkStart w:id="57" w:name="_Toc207711205"/>
      <w:bookmarkStart w:id="58" w:name="_Toc169162420"/>
      <w:bookmarkEnd w:id="47"/>
      <w:r>
        <w:rPr>
          <w:noProof/>
        </w:rPr>
        <w:drawing>
          <wp:inline distT="0" distB="0" distL="0" distR="0" wp14:anchorId="20122838" wp14:editId="739DAE81">
            <wp:extent cx="4886325" cy="3081338"/>
            <wp:effectExtent l="0" t="0" r="9525" b="508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1A579B2E-7BD2-47B1-A473-6FF54F624A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7981C3B" w14:textId="77DA0EDE" w:rsidR="0091518B" w:rsidRPr="00806290" w:rsidRDefault="0091518B" w:rsidP="0091518B">
      <w:pPr>
        <w:rPr>
          <w:szCs w:val="22"/>
          <w:lang w:val="es-MX"/>
        </w:rPr>
      </w:pPr>
      <w:bookmarkStart w:id="59" w:name="_Toc56581217"/>
      <w:bookmarkStart w:id="60" w:name="_Toc169162419"/>
      <w:r>
        <w:rPr>
          <w:lang w:val="es-SV"/>
        </w:rPr>
        <w:t xml:space="preserve">                     </w:t>
      </w:r>
      <w:r w:rsidRPr="00806290">
        <w:rPr>
          <w:lang w:val="es-SV"/>
        </w:rPr>
        <w:t>Fuente: Ministerio de Hacienda</w:t>
      </w:r>
    </w:p>
    <w:bookmarkEnd w:id="59"/>
    <w:bookmarkEnd w:id="60"/>
    <w:p w14:paraId="6E08830B" w14:textId="03796412" w:rsidR="0091518B" w:rsidRDefault="0091518B" w:rsidP="0091518B">
      <w:pPr>
        <w:rPr>
          <w:lang w:val="es-MX"/>
        </w:rPr>
      </w:pPr>
    </w:p>
    <w:p w14:paraId="6300BF1C" w14:textId="38154B78" w:rsidR="0091518B" w:rsidRDefault="0091518B" w:rsidP="0091518B">
      <w:pPr>
        <w:rPr>
          <w:lang w:val="es-MX"/>
        </w:rPr>
      </w:pPr>
    </w:p>
    <w:p w14:paraId="23FCFD0F" w14:textId="77777777" w:rsidR="0091518B" w:rsidRPr="0091518B" w:rsidRDefault="0091518B" w:rsidP="0091518B">
      <w:pPr>
        <w:rPr>
          <w:lang w:val="es-MX"/>
        </w:rPr>
      </w:pPr>
    </w:p>
    <w:p w14:paraId="739F7D23" w14:textId="32C62B3B" w:rsidR="0091518B" w:rsidRPr="007F0270" w:rsidRDefault="006E73AF" w:rsidP="007F0270">
      <w:pPr>
        <w:pStyle w:val="Ttulo2"/>
        <w:spacing w:line="480" w:lineRule="auto"/>
        <w:rPr>
          <w:rFonts w:ascii="Museo Sans 300" w:hAnsi="Museo Sans 300" w:cstheme="minorHAnsi"/>
          <w:szCs w:val="22"/>
          <w:lang w:val="es-MX"/>
        </w:rPr>
      </w:pPr>
      <w:r w:rsidRPr="0001362C">
        <w:rPr>
          <w:rFonts w:ascii="Museo Sans 300" w:hAnsi="Museo Sans 300" w:cstheme="minorHAnsi"/>
          <w:szCs w:val="22"/>
          <w:lang w:val="es-MX"/>
        </w:rPr>
        <w:lastRenderedPageBreak/>
        <w:t>4. Resultados</w:t>
      </w:r>
      <w:bookmarkEnd w:id="54"/>
      <w:r w:rsidRPr="0001362C">
        <w:rPr>
          <w:rFonts w:ascii="Museo Sans 300" w:hAnsi="Museo Sans 300" w:cstheme="minorHAnsi"/>
          <w:szCs w:val="22"/>
          <w:lang w:val="es-MX"/>
        </w:rPr>
        <w:t xml:space="preserve"> Globales del SPNF</w:t>
      </w:r>
      <w:bookmarkEnd w:id="55"/>
      <w:bookmarkEnd w:id="56"/>
      <w:r w:rsidR="00A22CDD" w:rsidRPr="0001362C">
        <w:rPr>
          <w:rStyle w:val="Refdenotaalpie"/>
          <w:rFonts w:ascii="Museo Sans 300" w:hAnsi="Museo Sans 300" w:cstheme="minorHAnsi"/>
          <w:szCs w:val="22"/>
          <w:lang w:val="es-MX"/>
        </w:rPr>
        <w:footnoteReference w:id="3"/>
      </w:r>
      <w:bookmarkStart w:id="61" w:name="_Toc411843468"/>
      <w:bookmarkEnd w:id="57"/>
      <w:bookmarkEnd w:id="58"/>
    </w:p>
    <w:p w14:paraId="3CBCD84F" w14:textId="3B84E059" w:rsidR="006E73AF" w:rsidRPr="0001362C" w:rsidRDefault="006E73AF" w:rsidP="007C00E1">
      <w:pPr>
        <w:pStyle w:val="Ttulo3"/>
        <w:spacing w:line="480" w:lineRule="auto"/>
        <w:rPr>
          <w:rFonts w:ascii="Museo Sans 300" w:hAnsi="Museo Sans 300" w:cstheme="minorHAnsi"/>
          <w:szCs w:val="22"/>
        </w:rPr>
      </w:pPr>
      <w:r w:rsidRPr="0001362C">
        <w:rPr>
          <w:rFonts w:ascii="Museo Sans 300" w:hAnsi="Museo Sans 300" w:cstheme="minorHAnsi"/>
          <w:szCs w:val="22"/>
        </w:rPr>
        <w:t xml:space="preserve"> </w:t>
      </w:r>
      <w:bookmarkStart w:id="62" w:name="_Toc411843469"/>
      <w:bookmarkStart w:id="63" w:name="_Toc56581223"/>
      <w:bookmarkStart w:id="64" w:name="_Toc169162421"/>
      <w:bookmarkStart w:id="65" w:name="_Toc207711206"/>
      <w:bookmarkEnd w:id="61"/>
      <w:r w:rsidRPr="0001362C">
        <w:rPr>
          <w:rFonts w:ascii="Museo Sans 300" w:hAnsi="Museo Sans 300" w:cstheme="minorHAnsi"/>
          <w:szCs w:val="22"/>
        </w:rPr>
        <w:t xml:space="preserve">4.1 </w:t>
      </w:r>
      <w:bookmarkEnd w:id="62"/>
      <w:bookmarkEnd w:id="63"/>
      <w:r w:rsidRPr="0001362C">
        <w:rPr>
          <w:rFonts w:ascii="Museo Sans 300" w:hAnsi="Museo Sans 300" w:cstheme="minorHAnsi"/>
          <w:szCs w:val="22"/>
        </w:rPr>
        <w:t>Balance Primario</w:t>
      </w:r>
      <w:bookmarkEnd w:id="64"/>
      <w:bookmarkEnd w:id="65"/>
      <w:r w:rsidRPr="0001362C">
        <w:rPr>
          <w:rFonts w:ascii="Museo Sans 300" w:hAnsi="Museo Sans 300" w:cstheme="minorHAnsi"/>
          <w:szCs w:val="22"/>
        </w:rPr>
        <w:t xml:space="preserve"> </w:t>
      </w:r>
    </w:p>
    <w:p w14:paraId="1B6B3E30" w14:textId="77755211" w:rsidR="0091518B" w:rsidRPr="007F0270" w:rsidRDefault="006E73AF" w:rsidP="007F0270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bookmarkStart w:id="66" w:name="_Hlk128489688"/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El balance primario obtuvo un superávit </w:t>
      </w:r>
      <w:r w:rsidR="003F1D05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primario 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con </w:t>
      </w:r>
      <w:r w:rsidR="003F1D05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pensiones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$</w:t>
      </w:r>
      <w:r w:rsidR="003172D4">
        <w:rPr>
          <w:rFonts w:ascii="Museo Sans 300" w:hAnsi="Museo Sans 300" w:cstheme="minorHAnsi"/>
          <w:sz w:val="22"/>
          <w:szCs w:val="22"/>
          <w:lang w:val="es-MX"/>
        </w:rPr>
        <w:t>447.0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equivalente a </w:t>
      </w:r>
      <w:r w:rsidR="003172D4">
        <w:rPr>
          <w:rFonts w:ascii="Museo Sans 300" w:hAnsi="Museo Sans 300" w:cstheme="minorHAnsi"/>
          <w:sz w:val="22"/>
          <w:szCs w:val="22"/>
          <w:lang w:val="es-MX"/>
        </w:rPr>
        <w:t>1.2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del PIB, </w:t>
      </w:r>
      <w:r w:rsidR="00105088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resultado 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>superior en 0.</w:t>
      </w:r>
      <w:r w:rsidR="003172D4">
        <w:rPr>
          <w:rFonts w:ascii="Museo Sans 300" w:hAnsi="Museo Sans 300" w:cstheme="minorHAnsi"/>
          <w:sz w:val="22"/>
          <w:szCs w:val="22"/>
          <w:lang w:val="es-MX"/>
        </w:rPr>
        <w:t>1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puntos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con respecto al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. </w:t>
      </w:r>
      <w:bookmarkEnd w:id="66"/>
    </w:p>
    <w:p w14:paraId="5E4661A1" w14:textId="77777777" w:rsidR="0091518B" w:rsidRDefault="0091518B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3C3C6C4" w14:textId="7C3D7F37" w:rsidR="006E73AF" w:rsidRPr="0001362C" w:rsidRDefault="006E73AF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Gráfico 8 Balance Primario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884742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20 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-202</w:t>
      </w:r>
      <w:r w:rsidR="004F2D9F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28AD1E5A" w14:textId="6310E403" w:rsidR="006E73AF" w:rsidRPr="0001362C" w:rsidRDefault="00EB5D16" w:rsidP="00E61B3F">
      <w:pPr>
        <w:spacing w:line="276" w:lineRule="auto"/>
        <w:jc w:val="center"/>
        <w:rPr>
          <w:rFonts w:ascii="Museo Sans 300" w:hAnsi="Museo Sans 300" w:cstheme="minorHAnsi"/>
          <w:color w:val="FF0000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1A0828CD" wp14:editId="4612058E">
            <wp:extent cx="5486400" cy="32004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6E73AF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 </w:t>
      </w:r>
    </w:p>
    <w:p w14:paraId="0B3C3633" w14:textId="77777777" w:rsidR="00806290" w:rsidRPr="00806290" w:rsidRDefault="00806290" w:rsidP="00EE1DB0">
      <w:pPr>
        <w:rPr>
          <w:szCs w:val="22"/>
          <w:lang w:val="es-MX"/>
        </w:rPr>
      </w:pPr>
      <w:r w:rsidRPr="00806290">
        <w:rPr>
          <w:lang w:val="es-SV"/>
        </w:rPr>
        <w:t>Fuente: Ministerio de Hacienda</w:t>
      </w:r>
    </w:p>
    <w:p w14:paraId="147231AC" w14:textId="77777777" w:rsidR="006E73AF" w:rsidRPr="0001362C" w:rsidRDefault="006E73AF" w:rsidP="00806290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7BE85831" w14:textId="77777777" w:rsidR="006E73AF" w:rsidRPr="0001362C" w:rsidRDefault="006E73AF" w:rsidP="007C00E1">
      <w:pPr>
        <w:pStyle w:val="Ttulo3"/>
        <w:spacing w:line="480" w:lineRule="auto"/>
        <w:rPr>
          <w:rFonts w:ascii="Museo Sans 300" w:hAnsi="Museo Sans 300" w:cstheme="minorHAnsi"/>
          <w:szCs w:val="22"/>
        </w:rPr>
      </w:pPr>
      <w:bookmarkStart w:id="67" w:name="_Toc56581224"/>
      <w:bookmarkStart w:id="68" w:name="_Toc169162422"/>
      <w:bookmarkStart w:id="69" w:name="_Toc207711207"/>
      <w:bookmarkStart w:id="70" w:name="_Toc411843470"/>
      <w:r w:rsidRPr="0001362C">
        <w:rPr>
          <w:rFonts w:ascii="Museo Sans 300" w:hAnsi="Museo Sans 300" w:cstheme="minorHAnsi"/>
          <w:szCs w:val="22"/>
        </w:rPr>
        <w:t>4.2 Balance global</w:t>
      </w:r>
      <w:bookmarkEnd w:id="67"/>
      <w:bookmarkEnd w:id="68"/>
      <w:bookmarkEnd w:id="69"/>
      <w:r w:rsidRPr="0001362C">
        <w:rPr>
          <w:rFonts w:ascii="Museo Sans 300" w:hAnsi="Museo Sans 300" w:cstheme="minorHAnsi"/>
          <w:szCs w:val="22"/>
        </w:rPr>
        <w:t xml:space="preserve"> </w:t>
      </w:r>
    </w:p>
    <w:p w14:paraId="1B8C3F4C" w14:textId="3CD878AC" w:rsidR="006E73AF" w:rsidRPr="0001362C" w:rsidRDefault="006E73AF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bookmarkStart w:id="71" w:name="_Hlk128489714"/>
      <w:bookmarkEnd w:id="70"/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El Balance Fiscal del SPNF consolidado al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202</w:t>
      </w:r>
      <w:r w:rsidR="000614F9" w:rsidRPr="0001362C">
        <w:rPr>
          <w:rFonts w:ascii="Museo Sans 300" w:hAnsi="Museo Sans 300" w:cstheme="minorHAnsi"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, presenta un déficit 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con </w:t>
      </w:r>
      <w:r w:rsidR="003F1D05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pensiones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de $</w:t>
      </w:r>
      <w:r w:rsidR="00B953DA">
        <w:rPr>
          <w:rFonts w:ascii="Museo Sans 300" w:hAnsi="Museo Sans 300" w:cstheme="minorHAnsi"/>
          <w:sz w:val="22"/>
          <w:szCs w:val="22"/>
          <w:lang w:val="es-MX"/>
        </w:rPr>
        <w:t>439.8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millones, m</w:t>
      </w:r>
      <w:r w:rsidR="00B953DA">
        <w:rPr>
          <w:rFonts w:ascii="Museo Sans 300" w:hAnsi="Museo Sans 300" w:cstheme="minorHAnsi"/>
          <w:sz w:val="22"/>
          <w:szCs w:val="22"/>
          <w:lang w:val="es-MX"/>
        </w:rPr>
        <w:t>ayor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en $</w:t>
      </w:r>
      <w:r w:rsidR="00B953DA">
        <w:rPr>
          <w:rFonts w:ascii="Museo Sans 300" w:hAnsi="Museo Sans 300" w:cstheme="minorHAnsi"/>
          <w:sz w:val="22"/>
          <w:szCs w:val="22"/>
          <w:lang w:val="es-MX"/>
        </w:rPr>
        <w:t>21.4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millones a los resultados del mes de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de 202</w:t>
      </w:r>
      <w:r w:rsidR="000614F9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 En términos del PIB fue equivalente al -</w:t>
      </w:r>
      <w:r w:rsidR="00B953DA">
        <w:rPr>
          <w:rFonts w:ascii="Museo Sans 300" w:hAnsi="Museo Sans 300" w:cstheme="minorHAnsi"/>
          <w:sz w:val="22"/>
          <w:szCs w:val="22"/>
          <w:lang w:val="es-MX"/>
        </w:rPr>
        <w:t>1.2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% del PIB, siendo </w:t>
      </w:r>
      <w:r w:rsidR="00B953DA">
        <w:rPr>
          <w:rFonts w:ascii="Museo Sans 300" w:hAnsi="Museo Sans 300" w:cstheme="minorHAnsi"/>
          <w:sz w:val="22"/>
          <w:szCs w:val="22"/>
          <w:lang w:val="es-MX"/>
        </w:rPr>
        <w:t xml:space="preserve">similar 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en relación a</w:t>
      </w:r>
      <w:r w:rsidR="00EB223A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  <w:r w:rsidR="00145AA8">
        <w:rPr>
          <w:rFonts w:ascii="Museo Sans 300" w:hAnsi="Museo Sans 300" w:cstheme="minorHAnsi"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202</w:t>
      </w:r>
      <w:r w:rsidR="00E22524" w:rsidRPr="0001362C">
        <w:rPr>
          <w:rFonts w:ascii="Museo Sans 300" w:hAnsi="Museo Sans 300" w:cstheme="minorHAnsi"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sz w:val="22"/>
          <w:szCs w:val="22"/>
          <w:lang w:val="es-MX"/>
        </w:rPr>
        <w:t>.</w:t>
      </w:r>
      <w:r w:rsidR="00055C62" w:rsidRPr="0001362C">
        <w:rPr>
          <w:rFonts w:ascii="Museo Sans 300" w:hAnsi="Museo Sans 300" w:cstheme="minorHAnsi"/>
          <w:sz w:val="22"/>
          <w:szCs w:val="22"/>
          <w:lang w:val="es-MX"/>
        </w:rPr>
        <w:br w:type="page"/>
      </w:r>
    </w:p>
    <w:bookmarkEnd w:id="71"/>
    <w:p w14:paraId="6E6504DF" w14:textId="1D2052A9" w:rsidR="00CB5E41" w:rsidRPr="0001362C" w:rsidRDefault="00105884" w:rsidP="00055C62">
      <w:pPr>
        <w:spacing w:after="240"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 xml:space="preserve">Gráfico 9: Balance Global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</w:t>
      </w:r>
      <w:r w:rsidR="00884742" w:rsidRPr="0001362C">
        <w:rPr>
          <w:rFonts w:ascii="Museo Sans 300" w:hAnsi="Museo Sans 300" w:cstheme="minorHAnsi"/>
          <w:i/>
          <w:sz w:val="22"/>
          <w:szCs w:val="22"/>
          <w:lang w:val="es-MX"/>
        </w:rPr>
        <w:t>20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</w:t>
      </w:r>
    </w:p>
    <w:p w14:paraId="3478DD0B" w14:textId="0BC8A3CF" w:rsidR="006E73AF" w:rsidRPr="0001362C" w:rsidRDefault="00EB5D16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>
        <w:rPr>
          <w:noProof/>
        </w:rPr>
        <w:drawing>
          <wp:inline distT="0" distB="0" distL="0" distR="0" wp14:anchorId="2B40F1A0" wp14:editId="75824E27">
            <wp:extent cx="5486400" cy="32004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6E73AF" w:rsidRPr="0001362C">
        <w:rPr>
          <w:rFonts w:ascii="Museo Sans 300" w:hAnsi="Museo Sans 300" w:cstheme="minorHAnsi"/>
          <w:sz w:val="22"/>
          <w:szCs w:val="22"/>
          <w:lang w:val="es-MX"/>
        </w:rPr>
        <w:t xml:space="preserve"> </w:t>
      </w:r>
    </w:p>
    <w:p w14:paraId="1BC4B68E" w14:textId="77777777" w:rsidR="006E73AF" w:rsidRPr="0001362C" w:rsidRDefault="006E73AF" w:rsidP="00E61B3F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</w:p>
    <w:p w14:paraId="709A63E3" w14:textId="77777777" w:rsidR="00806290" w:rsidRPr="00806290" w:rsidRDefault="00806290" w:rsidP="00A92D13">
      <w:pPr>
        <w:rPr>
          <w:szCs w:val="22"/>
          <w:lang w:val="es-MX"/>
        </w:rPr>
      </w:pPr>
      <w:r w:rsidRPr="00806290">
        <w:rPr>
          <w:lang w:val="es-SV"/>
        </w:rPr>
        <w:t>Fuente: Ministerio de Hacienda</w:t>
      </w:r>
    </w:p>
    <w:p w14:paraId="6DF6E915" w14:textId="77777777" w:rsidR="00806290" w:rsidRPr="0001362C" w:rsidRDefault="00806290" w:rsidP="00806290">
      <w:pPr>
        <w:spacing w:line="276" w:lineRule="auto"/>
        <w:rPr>
          <w:rFonts w:ascii="Museo Sans 300" w:hAnsi="Museo Sans 300" w:cstheme="minorHAnsi"/>
          <w:sz w:val="22"/>
          <w:szCs w:val="22"/>
          <w:lang w:val="es-MX"/>
        </w:rPr>
      </w:pPr>
    </w:p>
    <w:p w14:paraId="649C2AF8" w14:textId="77777777" w:rsidR="006E73AF" w:rsidRPr="0001362C" w:rsidRDefault="006E73AF" w:rsidP="00E61B3F">
      <w:pPr>
        <w:spacing w:line="276" w:lineRule="auto"/>
        <w:jc w:val="both"/>
        <w:rPr>
          <w:rFonts w:ascii="Museo Sans 300" w:hAnsi="Museo Sans 300" w:cstheme="minorHAnsi"/>
          <w:b/>
          <w:sz w:val="22"/>
          <w:szCs w:val="22"/>
          <w:lang w:val="es-MX"/>
        </w:rPr>
      </w:pPr>
    </w:p>
    <w:p w14:paraId="56294D93" w14:textId="77777777" w:rsidR="00065346" w:rsidRPr="0001362C" w:rsidRDefault="00065346" w:rsidP="007C00E1">
      <w:pPr>
        <w:pStyle w:val="Ttulo2"/>
        <w:spacing w:line="480" w:lineRule="auto"/>
        <w:rPr>
          <w:rFonts w:ascii="Museo Sans 300" w:hAnsi="Museo Sans 300" w:cstheme="minorHAnsi"/>
          <w:szCs w:val="22"/>
          <w:lang w:val="es-MX"/>
        </w:rPr>
      </w:pPr>
    </w:p>
    <w:p w14:paraId="0991E64F" w14:textId="77777777" w:rsidR="00065346" w:rsidRPr="0001362C" w:rsidRDefault="00065346" w:rsidP="007C00E1">
      <w:pPr>
        <w:pStyle w:val="Ttulo2"/>
        <w:spacing w:line="480" w:lineRule="auto"/>
        <w:rPr>
          <w:rFonts w:ascii="Museo Sans 300" w:hAnsi="Museo Sans 300" w:cstheme="minorHAnsi"/>
          <w:szCs w:val="22"/>
          <w:lang w:val="es-MX"/>
        </w:rPr>
      </w:pPr>
    </w:p>
    <w:p w14:paraId="3D3D1960" w14:textId="77777777" w:rsidR="00065346" w:rsidRPr="0001362C" w:rsidRDefault="00065346" w:rsidP="007C00E1">
      <w:pPr>
        <w:pStyle w:val="Ttulo2"/>
        <w:spacing w:line="480" w:lineRule="auto"/>
        <w:rPr>
          <w:rFonts w:ascii="Museo Sans 300" w:hAnsi="Museo Sans 300" w:cstheme="minorHAnsi"/>
          <w:szCs w:val="22"/>
          <w:lang w:val="es-MX"/>
        </w:rPr>
      </w:pPr>
    </w:p>
    <w:p w14:paraId="6C0345F3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549F5F75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011DDFCD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721F7C35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3CECFB0F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6A6852ED" w14:textId="77777777" w:rsidR="007A1A06" w:rsidRPr="0001362C" w:rsidRDefault="007A1A06" w:rsidP="007A1A06">
      <w:pPr>
        <w:rPr>
          <w:rFonts w:ascii="Museo Sans 300" w:hAnsi="Museo Sans 300" w:cstheme="minorHAnsi"/>
          <w:sz w:val="22"/>
          <w:szCs w:val="22"/>
          <w:lang w:val="es-MX"/>
        </w:rPr>
      </w:pPr>
    </w:p>
    <w:p w14:paraId="3F423E31" w14:textId="77777777" w:rsidR="00B25168" w:rsidRPr="0001362C" w:rsidRDefault="00B25168">
      <w:pPr>
        <w:spacing w:after="160" w:line="259" w:lineRule="auto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sz w:val="22"/>
          <w:szCs w:val="22"/>
          <w:lang w:val="es-MX"/>
        </w:rPr>
        <w:br w:type="page"/>
      </w:r>
    </w:p>
    <w:p w14:paraId="4402F1D7" w14:textId="26116025" w:rsidR="00065346" w:rsidRPr="00836952" w:rsidRDefault="006E73AF" w:rsidP="00A21592">
      <w:pPr>
        <w:pStyle w:val="Ttulo2"/>
        <w:spacing w:line="480" w:lineRule="auto"/>
        <w:rPr>
          <w:rFonts w:ascii="Museo Sans 300" w:hAnsi="Museo Sans 300" w:cstheme="minorHAnsi"/>
          <w:i/>
          <w:szCs w:val="22"/>
          <w:lang w:val="es-MX"/>
        </w:rPr>
      </w:pPr>
      <w:bookmarkStart w:id="72" w:name="_Toc207711208"/>
      <w:r w:rsidRPr="0001362C">
        <w:rPr>
          <w:rFonts w:ascii="Museo Sans 300" w:hAnsi="Museo Sans 300" w:cstheme="minorHAnsi"/>
          <w:szCs w:val="22"/>
          <w:lang w:val="es-MX"/>
        </w:rPr>
        <w:lastRenderedPageBreak/>
        <w:t xml:space="preserve">5. </w:t>
      </w:r>
      <w:r w:rsidRPr="00836952">
        <w:rPr>
          <w:rFonts w:ascii="Museo Sans 300" w:hAnsi="Museo Sans 300" w:cstheme="minorHAnsi"/>
          <w:szCs w:val="22"/>
        </w:rPr>
        <w:t>A</w:t>
      </w:r>
      <w:r w:rsidR="006E53FC" w:rsidRPr="00836952">
        <w:rPr>
          <w:rFonts w:ascii="Museo Sans 300" w:hAnsi="Museo Sans 300" w:cstheme="minorHAnsi"/>
          <w:szCs w:val="22"/>
        </w:rPr>
        <w:t>nexos.</w:t>
      </w:r>
      <w:bookmarkEnd w:id="72"/>
    </w:p>
    <w:p w14:paraId="40048FA9" w14:textId="77777777" w:rsidR="00055C62" w:rsidRPr="00836952" w:rsidRDefault="006E73AF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836952">
        <w:rPr>
          <w:rFonts w:ascii="Museo Sans 300" w:hAnsi="Museo Sans 300" w:cstheme="minorHAnsi"/>
          <w:i/>
          <w:sz w:val="22"/>
          <w:szCs w:val="22"/>
          <w:lang w:val="es-MX"/>
        </w:rPr>
        <w:t>Anexo 1:</w:t>
      </w:r>
    </w:p>
    <w:p w14:paraId="0A0815F9" w14:textId="05E98B65" w:rsidR="006E73AF" w:rsidRPr="00836952" w:rsidRDefault="006E73AF" w:rsidP="00055C62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836952">
        <w:rPr>
          <w:rFonts w:ascii="Museo Sans 300" w:hAnsi="Museo Sans 300" w:cstheme="minorHAnsi"/>
          <w:i/>
          <w:sz w:val="22"/>
          <w:szCs w:val="22"/>
          <w:lang w:val="es-MX"/>
        </w:rPr>
        <w:t xml:space="preserve"> Ingresos Totales del Sector Público No Financiero </w:t>
      </w:r>
      <w:r w:rsidR="00724E84" w:rsidRPr="00836952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 w:rsidRPr="00836952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836952">
        <w:rPr>
          <w:rFonts w:ascii="Museo Sans 300" w:hAnsi="Museo Sans 300" w:cstheme="minorHAnsi"/>
          <w:i/>
          <w:sz w:val="22"/>
          <w:szCs w:val="22"/>
          <w:lang w:val="es-MX"/>
        </w:rPr>
        <w:t xml:space="preserve"> 202</w:t>
      </w:r>
      <w:r w:rsidR="000614F9" w:rsidRPr="00836952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836952">
        <w:rPr>
          <w:rFonts w:ascii="Museo Sans 300" w:hAnsi="Museo Sans 300" w:cstheme="minorHAnsi"/>
          <w:i/>
          <w:sz w:val="22"/>
          <w:szCs w:val="22"/>
          <w:lang w:val="es-MX"/>
        </w:rPr>
        <w:t>-202</w:t>
      </w:r>
      <w:r w:rsidR="000614F9" w:rsidRPr="00836952">
        <w:rPr>
          <w:rFonts w:ascii="Museo Sans 300" w:hAnsi="Museo Sans 300" w:cstheme="minorHAnsi"/>
          <w:i/>
          <w:sz w:val="22"/>
          <w:szCs w:val="22"/>
          <w:lang w:val="es-MX"/>
        </w:rPr>
        <w:t>4</w:t>
      </w:r>
    </w:p>
    <w:p w14:paraId="733FA12F" w14:textId="77777777" w:rsidR="006E73AF" w:rsidRPr="0001362C" w:rsidRDefault="006E73AF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836952">
        <w:rPr>
          <w:rFonts w:ascii="Museo Sans 300" w:hAnsi="Museo Sans 300" w:cstheme="minorHAnsi"/>
          <w:i/>
          <w:sz w:val="22"/>
          <w:szCs w:val="22"/>
          <w:lang w:val="es-MX"/>
        </w:rPr>
        <w:t>(Millones $)</w:t>
      </w:r>
    </w:p>
    <w:p w14:paraId="7F21D0FD" w14:textId="6D00247F" w:rsidR="006E73AF" w:rsidRPr="0001362C" w:rsidRDefault="00A72788" w:rsidP="00E61B3F">
      <w:pPr>
        <w:spacing w:line="276" w:lineRule="auto"/>
        <w:jc w:val="both"/>
        <w:rPr>
          <w:rFonts w:ascii="Museo Sans 300" w:hAnsi="Museo Sans 300" w:cstheme="minorHAnsi"/>
          <w:sz w:val="22"/>
          <w:szCs w:val="22"/>
          <w:lang w:val="es-MX"/>
        </w:rPr>
      </w:pPr>
      <w:r w:rsidRPr="00A72788">
        <w:rPr>
          <w:noProof/>
        </w:rPr>
        <w:drawing>
          <wp:inline distT="0" distB="0" distL="0" distR="0" wp14:anchorId="7317C185" wp14:editId="009D18FE">
            <wp:extent cx="5547043" cy="68103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21" cy="68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51FF" w14:textId="77777777" w:rsidR="00F22013" w:rsidRDefault="00F22013" w:rsidP="00CD1E50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71345F1D" w14:textId="563096C8" w:rsidR="00CD1E50" w:rsidRPr="00836952" w:rsidRDefault="00CD1E50" w:rsidP="00CD1E50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>Anexo 2:</w:t>
      </w:r>
    </w:p>
    <w:p w14:paraId="0131D8AB" w14:textId="5A72A9FB" w:rsidR="00CD1E50" w:rsidRPr="0001362C" w:rsidRDefault="00CD1E50" w:rsidP="00CD1E50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Ejecución del SPNF 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2025 - 2024</w:t>
      </w:r>
    </w:p>
    <w:p w14:paraId="7051D8C8" w14:textId="77777777" w:rsidR="00CD1E50" w:rsidRPr="0001362C" w:rsidRDefault="00CD1E50" w:rsidP="00CD1E50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(En millones de $)</w:t>
      </w:r>
    </w:p>
    <w:p w14:paraId="1DED354D" w14:textId="0EEB82C8" w:rsidR="00CD1E50" w:rsidRPr="0001362C" w:rsidRDefault="00507A08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>
        <w:rPr>
          <w:rFonts w:ascii="Museo Sans 300" w:hAnsi="Museo Sans 300" w:cstheme="minorHAnsi"/>
          <w:i/>
          <w:sz w:val="22"/>
          <w:szCs w:val="22"/>
          <w:lang w:val="es-MX"/>
        </w:rPr>
        <w:object w:dxaOrig="12766" w:dyaOrig="13420" w14:anchorId="43460FDC">
          <v:shape id="_x0000_i1029" type="#_x0000_t75" style="width:443pt;height:466pt" o:ole="">
            <v:imagedata r:id="rId27" o:title=""/>
          </v:shape>
          <o:OLEObject Type="Embed" ProgID="Excel.Sheet.12" ShapeID="_x0000_i1029" DrawAspect="Content" ObjectID="_1828006726" r:id="rId28"/>
        </w:object>
      </w:r>
    </w:p>
    <w:p w14:paraId="30228D5C" w14:textId="77777777" w:rsidR="00CD1E50" w:rsidRPr="0001362C" w:rsidRDefault="00CD1E50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3895D9B7" w14:textId="77777777" w:rsidR="00CD1E50" w:rsidRPr="0001362C" w:rsidRDefault="00CD1E50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67CE0C68" w14:textId="77777777" w:rsidR="00CD1E50" w:rsidRPr="0001362C" w:rsidRDefault="00CD1E50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66BEE432" w14:textId="77777777" w:rsidR="00B92944" w:rsidRPr="0001362C" w:rsidRDefault="00B92944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44453A04" w14:textId="77777777" w:rsidR="00B92944" w:rsidRPr="0001362C" w:rsidRDefault="00B92944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ECF7BDA" w14:textId="77777777" w:rsidR="00B92944" w:rsidRPr="0001362C" w:rsidRDefault="00B92944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68CF3036" w14:textId="77777777" w:rsidR="00CD1E50" w:rsidRPr="0001362C" w:rsidRDefault="00CD1E50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6F797589" w14:textId="77777777" w:rsidR="00CD1E50" w:rsidRPr="0001362C" w:rsidRDefault="00CD1E50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219EF485" w14:textId="77777777" w:rsidR="00055C62" w:rsidRPr="0001362C" w:rsidRDefault="00105884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 xml:space="preserve">Anexo </w:t>
      </w:r>
      <w:r w:rsidR="00121069" w:rsidRPr="0001362C">
        <w:rPr>
          <w:rFonts w:ascii="Museo Sans 300" w:hAnsi="Museo Sans 300" w:cstheme="minorHAnsi"/>
          <w:i/>
          <w:sz w:val="22"/>
          <w:szCs w:val="22"/>
          <w:lang w:val="es-MX"/>
        </w:rPr>
        <w:t>3</w:t>
      </w:r>
      <w:r w:rsidR="00CD1E50" w:rsidRPr="0001362C">
        <w:rPr>
          <w:rFonts w:ascii="Museo Sans 300" w:hAnsi="Museo Sans 300" w:cstheme="minorHAnsi"/>
          <w:i/>
          <w:sz w:val="22"/>
          <w:szCs w:val="22"/>
          <w:lang w:val="es-MX"/>
        </w:rPr>
        <w:t>:</w:t>
      </w:r>
    </w:p>
    <w:p w14:paraId="6A174D95" w14:textId="3FFA7443" w:rsidR="00105884" w:rsidRPr="0001362C" w:rsidRDefault="00105884" w:rsidP="00055C62">
      <w:pPr>
        <w:spacing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Ejecución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- 202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4</w:t>
      </w:r>
    </w:p>
    <w:p w14:paraId="1B0840F8" w14:textId="77777777" w:rsidR="00105884" w:rsidRPr="0001362C" w:rsidRDefault="00105884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(En % del PIB)</w:t>
      </w:r>
    </w:p>
    <w:p w14:paraId="26B13CE4" w14:textId="2DCD4161" w:rsidR="00CD1E50" w:rsidRPr="0001362C" w:rsidRDefault="00507A08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>
        <w:rPr>
          <w:rFonts w:ascii="Museo Sans 300" w:hAnsi="Museo Sans 300"/>
          <w:noProof/>
          <w:sz w:val="22"/>
          <w:szCs w:val="22"/>
        </w:rPr>
        <w:object w:dxaOrig="9193" w:dyaOrig="10856" w14:anchorId="69F22365">
          <v:shape id="_x0000_i1030" type="#_x0000_t75" style="width:445pt;height:527pt" o:ole="">
            <v:imagedata r:id="rId29" o:title=""/>
          </v:shape>
          <o:OLEObject Type="Embed" ProgID="Excel.Sheet.12" ShapeID="_x0000_i1030" DrawAspect="Content" ObjectID="_1828006727" r:id="rId30"/>
        </w:object>
      </w:r>
    </w:p>
    <w:p w14:paraId="7879C5A6" w14:textId="77777777" w:rsidR="00CD1E50" w:rsidRPr="0001362C" w:rsidRDefault="00CD1E50" w:rsidP="00055C62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72A074CD" w14:textId="3651EBC6" w:rsidR="00CD1E50" w:rsidRPr="0001362C" w:rsidRDefault="00CD1E50" w:rsidP="00CD1E50">
      <w:pPr>
        <w:spacing w:after="160" w:line="259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Anexo </w:t>
      </w:r>
      <w:r w:rsidR="00121069" w:rsidRPr="0001362C">
        <w:rPr>
          <w:rFonts w:ascii="Museo Sans 300" w:hAnsi="Museo Sans 300" w:cstheme="minorHAnsi"/>
          <w:i/>
          <w:sz w:val="22"/>
          <w:szCs w:val="22"/>
          <w:lang w:val="es-MX"/>
        </w:rPr>
        <w:t>4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: </w:t>
      </w:r>
    </w:p>
    <w:p w14:paraId="10ADD449" w14:textId="046C4215" w:rsidR="00CD1E50" w:rsidRPr="0001362C" w:rsidRDefault="00CD1E50" w:rsidP="00CD1E50">
      <w:pPr>
        <w:spacing w:after="160" w:line="259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 xml:space="preserve">Inversión Pública del SPNF 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de 2025 - 2024</w:t>
      </w:r>
    </w:p>
    <w:p w14:paraId="77B5B913" w14:textId="3A8B3C1D" w:rsidR="00CD1E50" w:rsidRDefault="00CD1E50" w:rsidP="00CD1E50">
      <w:pPr>
        <w:spacing w:after="240" w:line="276" w:lineRule="auto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(En millones de US$) </w:t>
      </w:r>
    </w:p>
    <w:p w14:paraId="118A15D3" w14:textId="4AF0ED8B" w:rsidR="006E73AF" w:rsidRPr="0001362C" w:rsidRDefault="007F0270" w:rsidP="007C00E1">
      <w:pPr>
        <w:spacing w:line="276" w:lineRule="auto"/>
        <w:jc w:val="center"/>
        <w:rPr>
          <w:rFonts w:ascii="Museo Sans 300" w:hAnsi="Museo Sans 300" w:cstheme="minorHAnsi"/>
          <w:b/>
          <w:sz w:val="22"/>
          <w:szCs w:val="22"/>
          <w:lang w:val="es-MX"/>
        </w:rPr>
      </w:pPr>
      <w:r>
        <w:rPr>
          <w:rFonts w:ascii="Museo Sans 300" w:hAnsi="Museo Sans 300"/>
          <w:noProof/>
          <w:sz w:val="22"/>
          <w:szCs w:val="22"/>
        </w:rPr>
        <w:object w:dxaOrig="9188" w:dyaOrig="13326" w14:anchorId="64054DEC">
          <v:shape id="_x0000_i1031" type="#_x0000_t75" style="width:404pt;height:550pt" o:ole="">
            <v:imagedata r:id="rId31" o:title=""/>
          </v:shape>
          <o:OLEObject Type="Embed" ProgID="Excel.Sheet.12" ShapeID="_x0000_i1031" DrawAspect="Content" ObjectID="_1828006728" r:id="rId32"/>
        </w:object>
      </w:r>
    </w:p>
    <w:p w14:paraId="11CAE65B" w14:textId="77777777" w:rsidR="007F0270" w:rsidRDefault="007F0270" w:rsidP="0047278A">
      <w:pPr>
        <w:spacing w:after="160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</w:p>
    <w:p w14:paraId="7322E98D" w14:textId="543AF07C" w:rsidR="00055C62" w:rsidRPr="0001362C" w:rsidRDefault="00836427" w:rsidP="0047278A">
      <w:pPr>
        <w:spacing w:after="160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>A</w:t>
      </w:r>
      <w:r w:rsidR="006E73AF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nexo </w:t>
      </w:r>
      <w:r w:rsidR="00CC6D5A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="006E73AF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: </w:t>
      </w:r>
    </w:p>
    <w:p w14:paraId="1D66B2F2" w14:textId="6BABDC88" w:rsidR="006E73AF" w:rsidRPr="0001362C" w:rsidRDefault="006E73AF" w:rsidP="0047278A">
      <w:pPr>
        <w:spacing w:after="160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lastRenderedPageBreak/>
        <w:t xml:space="preserve">Saldos de la Deuda del SPNF </w:t>
      </w:r>
      <w:r w:rsidR="00724E84"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a </w:t>
      </w:r>
      <w:r w:rsidR="00145AA8">
        <w:rPr>
          <w:rFonts w:ascii="Museo Sans 300" w:hAnsi="Museo Sans 300" w:cstheme="minorHAnsi"/>
          <w:i/>
          <w:sz w:val="22"/>
          <w:szCs w:val="22"/>
          <w:lang w:val="es-MX"/>
        </w:rPr>
        <w:t>junio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de 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5</w:t>
      </w: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 - 202</w:t>
      </w:r>
      <w:r w:rsidR="000614F9" w:rsidRPr="0001362C">
        <w:rPr>
          <w:rFonts w:ascii="Museo Sans 300" w:hAnsi="Museo Sans 300" w:cstheme="minorHAnsi"/>
          <w:i/>
          <w:sz w:val="22"/>
          <w:szCs w:val="22"/>
          <w:lang w:val="es-MX"/>
        </w:rPr>
        <w:t>4</w:t>
      </w:r>
    </w:p>
    <w:p w14:paraId="07EBB6F9" w14:textId="77777777" w:rsidR="006E73AF" w:rsidRPr="0001362C" w:rsidRDefault="006E73AF" w:rsidP="0047278A">
      <w:pPr>
        <w:spacing w:after="240"/>
        <w:jc w:val="center"/>
        <w:rPr>
          <w:rFonts w:ascii="Museo Sans 300" w:hAnsi="Museo Sans 300" w:cstheme="minorHAnsi"/>
          <w:i/>
          <w:sz w:val="22"/>
          <w:szCs w:val="22"/>
          <w:lang w:val="es-MX"/>
        </w:rPr>
      </w:pPr>
      <w:r w:rsidRPr="0001362C">
        <w:rPr>
          <w:rFonts w:ascii="Museo Sans 300" w:hAnsi="Museo Sans 300" w:cstheme="minorHAnsi"/>
          <w:i/>
          <w:sz w:val="22"/>
          <w:szCs w:val="22"/>
          <w:lang w:val="es-MX"/>
        </w:rPr>
        <w:t xml:space="preserve">(En millones de US$) </w:t>
      </w:r>
    </w:p>
    <w:p w14:paraId="78D725C0" w14:textId="7EE39569" w:rsidR="006E73AF" w:rsidRPr="0001362C" w:rsidRDefault="0028481B" w:rsidP="007C00E1">
      <w:pPr>
        <w:spacing w:line="276" w:lineRule="auto"/>
        <w:jc w:val="center"/>
        <w:rPr>
          <w:rFonts w:ascii="Museo Sans 300" w:hAnsi="Museo Sans 300" w:cstheme="minorHAnsi"/>
          <w:sz w:val="22"/>
          <w:szCs w:val="22"/>
          <w:lang w:val="es-ES"/>
        </w:rPr>
      </w:pPr>
      <w:r>
        <w:rPr>
          <w:rFonts w:ascii="Museo Sans 300" w:hAnsi="Museo Sans 300"/>
          <w:noProof/>
          <w:sz w:val="22"/>
          <w:szCs w:val="22"/>
        </w:rPr>
        <w:object w:dxaOrig="12059" w:dyaOrig="11041" w14:anchorId="1706E85F">
          <v:shape id="_x0000_i1032" type="#_x0000_t75" style="width:482pt;height:441pt" o:ole="">
            <v:imagedata r:id="rId33" o:title=""/>
          </v:shape>
          <o:OLEObject Type="Embed" ProgID="Excel.Sheet.12" ShapeID="_x0000_i1032" DrawAspect="Content" ObjectID="_1828006729" r:id="rId34"/>
        </w:object>
      </w:r>
    </w:p>
    <w:sectPr w:rsidR="006E73AF" w:rsidRPr="0001362C" w:rsidSect="00580BEC">
      <w:footerReference w:type="default" r:id="rId35"/>
      <w:pgSz w:w="12240" w:h="15840"/>
      <w:pgMar w:top="1411" w:right="1699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78B4A" w14:textId="77777777" w:rsidR="00B70EC7" w:rsidRDefault="00B70EC7" w:rsidP="00CD6406">
      <w:r>
        <w:separator/>
      </w:r>
    </w:p>
  </w:endnote>
  <w:endnote w:type="continuationSeparator" w:id="0">
    <w:p w14:paraId="1F315D5D" w14:textId="77777777" w:rsidR="00B70EC7" w:rsidRDefault="00B70EC7" w:rsidP="00CD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705424"/>
      <w:docPartObj>
        <w:docPartGallery w:val="Page Numbers (Bottom of Page)"/>
        <w:docPartUnique/>
      </w:docPartObj>
    </w:sdtPr>
    <w:sdtEndPr/>
    <w:sdtContent>
      <w:p w14:paraId="6DFA9EF1" w14:textId="26178709" w:rsidR="003172D4" w:rsidRDefault="003172D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B06D20" w14:textId="77777777" w:rsidR="003172D4" w:rsidRDefault="003172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F1960" w14:textId="77777777" w:rsidR="00B70EC7" w:rsidRDefault="00B70EC7" w:rsidP="00CD6406">
      <w:r>
        <w:separator/>
      </w:r>
    </w:p>
  </w:footnote>
  <w:footnote w:type="continuationSeparator" w:id="0">
    <w:p w14:paraId="2F5CD48A" w14:textId="77777777" w:rsidR="00B70EC7" w:rsidRDefault="00B70EC7" w:rsidP="00CD6406">
      <w:r>
        <w:continuationSeparator/>
      </w:r>
    </w:p>
  </w:footnote>
  <w:footnote w:id="1">
    <w:p w14:paraId="23996351" w14:textId="3BFCC72C" w:rsidR="003172D4" w:rsidRPr="00076592" w:rsidRDefault="003172D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8C279D">
        <w:rPr>
          <w:rFonts w:cstheme="minorHAnsi"/>
          <w:szCs w:val="22"/>
          <w:lang w:val="es-MX"/>
        </w:rPr>
        <w:t>(ver anexo 1)</w:t>
      </w:r>
    </w:p>
  </w:footnote>
  <w:footnote w:id="2">
    <w:p w14:paraId="6FE41C80" w14:textId="35B72164" w:rsidR="003172D4" w:rsidRPr="008E439C" w:rsidRDefault="003172D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(ver anexo 2 y 3)</w:t>
      </w:r>
    </w:p>
  </w:footnote>
  <w:footnote w:id="3">
    <w:p w14:paraId="533F9BD7" w14:textId="4077CCCD" w:rsidR="003172D4" w:rsidRPr="00A22CDD" w:rsidRDefault="003172D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8C279D">
        <w:rPr>
          <w:rFonts w:cstheme="minorHAnsi"/>
          <w:szCs w:val="22"/>
          <w:lang w:val="es-MX"/>
        </w:rPr>
        <w:t>(ver anexo 2 y 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B5263"/>
    <w:multiLevelType w:val="hybridMultilevel"/>
    <w:tmpl w:val="D9BCBBC6"/>
    <w:lvl w:ilvl="0" w:tplc="4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7734DC7"/>
    <w:multiLevelType w:val="hybridMultilevel"/>
    <w:tmpl w:val="42D451D8"/>
    <w:lvl w:ilvl="0" w:tplc="4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86926B3"/>
    <w:multiLevelType w:val="hybridMultilevel"/>
    <w:tmpl w:val="A4EA2178"/>
    <w:lvl w:ilvl="0" w:tplc="4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E0E2773"/>
    <w:multiLevelType w:val="hybridMultilevel"/>
    <w:tmpl w:val="7732221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F317D"/>
    <w:multiLevelType w:val="hybridMultilevel"/>
    <w:tmpl w:val="E21864D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E67EF"/>
    <w:multiLevelType w:val="hybridMultilevel"/>
    <w:tmpl w:val="F8E898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2609EF"/>
    <w:multiLevelType w:val="hybridMultilevel"/>
    <w:tmpl w:val="36944534"/>
    <w:lvl w:ilvl="0" w:tplc="8EF257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62679"/>
    <w:multiLevelType w:val="hybridMultilevel"/>
    <w:tmpl w:val="4C282F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D7"/>
    <w:rsid w:val="00012037"/>
    <w:rsid w:val="00013222"/>
    <w:rsid w:val="0001362C"/>
    <w:rsid w:val="00015956"/>
    <w:rsid w:val="000167F8"/>
    <w:rsid w:val="00016EC0"/>
    <w:rsid w:val="00025C01"/>
    <w:rsid w:val="00031626"/>
    <w:rsid w:val="0004120C"/>
    <w:rsid w:val="000526E1"/>
    <w:rsid w:val="00054C35"/>
    <w:rsid w:val="00055C62"/>
    <w:rsid w:val="000614F9"/>
    <w:rsid w:val="00065346"/>
    <w:rsid w:val="00071688"/>
    <w:rsid w:val="0007261D"/>
    <w:rsid w:val="00075E41"/>
    <w:rsid w:val="00076592"/>
    <w:rsid w:val="00083EB1"/>
    <w:rsid w:val="00085342"/>
    <w:rsid w:val="00087BC6"/>
    <w:rsid w:val="00090FFA"/>
    <w:rsid w:val="00097B2A"/>
    <w:rsid w:val="000A13D8"/>
    <w:rsid w:val="000A3DE5"/>
    <w:rsid w:val="000C656A"/>
    <w:rsid w:val="000D5C54"/>
    <w:rsid w:val="000D7E4A"/>
    <w:rsid w:val="000E0053"/>
    <w:rsid w:val="000E366D"/>
    <w:rsid w:val="000E7ED7"/>
    <w:rsid w:val="000F2B79"/>
    <w:rsid w:val="0010152D"/>
    <w:rsid w:val="00105088"/>
    <w:rsid w:val="00105884"/>
    <w:rsid w:val="001068B2"/>
    <w:rsid w:val="001166C7"/>
    <w:rsid w:val="00117769"/>
    <w:rsid w:val="00121069"/>
    <w:rsid w:val="001226CD"/>
    <w:rsid w:val="001349FF"/>
    <w:rsid w:val="00136B9A"/>
    <w:rsid w:val="001404CC"/>
    <w:rsid w:val="00144ED2"/>
    <w:rsid w:val="00145AA8"/>
    <w:rsid w:val="0014648F"/>
    <w:rsid w:val="0014655C"/>
    <w:rsid w:val="00154E44"/>
    <w:rsid w:val="00154FC8"/>
    <w:rsid w:val="00163432"/>
    <w:rsid w:val="001637C8"/>
    <w:rsid w:val="00171E3B"/>
    <w:rsid w:val="00172FA7"/>
    <w:rsid w:val="0017301F"/>
    <w:rsid w:val="0018189E"/>
    <w:rsid w:val="00187868"/>
    <w:rsid w:val="00192D68"/>
    <w:rsid w:val="0019460F"/>
    <w:rsid w:val="001973D9"/>
    <w:rsid w:val="001A2D4D"/>
    <w:rsid w:val="001A6D06"/>
    <w:rsid w:val="001D2076"/>
    <w:rsid w:val="001E18EE"/>
    <w:rsid w:val="001F4115"/>
    <w:rsid w:val="001F5F0A"/>
    <w:rsid w:val="001F71D6"/>
    <w:rsid w:val="00207EF6"/>
    <w:rsid w:val="00222E60"/>
    <w:rsid w:val="0022601C"/>
    <w:rsid w:val="002309FE"/>
    <w:rsid w:val="00232A56"/>
    <w:rsid w:val="00236CFE"/>
    <w:rsid w:val="002410EC"/>
    <w:rsid w:val="00243B63"/>
    <w:rsid w:val="002574B4"/>
    <w:rsid w:val="00261F31"/>
    <w:rsid w:val="002729E6"/>
    <w:rsid w:val="00281FA5"/>
    <w:rsid w:val="00283F9C"/>
    <w:rsid w:val="002846B7"/>
    <w:rsid w:val="0028481B"/>
    <w:rsid w:val="002A2D46"/>
    <w:rsid w:val="002B6D5B"/>
    <w:rsid w:val="002C44E0"/>
    <w:rsid w:val="002C6ACB"/>
    <w:rsid w:val="002D1B4A"/>
    <w:rsid w:val="002D6257"/>
    <w:rsid w:val="002D67D4"/>
    <w:rsid w:val="002E06B9"/>
    <w:rsid w:val="002E2E85"/>
    <w:rsid w:val="002E7098"/>
    <w:rsid w:val="002E747D"/>
    <w:rsid w:val="002E75FB"/>
    <w:rsid w:val="002F267D"/>
    <w:rsid w:val="002F33A9"/>
    <w:rsid w:val="003065E6"/>
    <w:rsid w:val="003172D4"/>
    <w:rsid w:val="00321B54"/>
    <w:rsid w:val="00322194"/>
    <w:rsid w:val="003227F0"/>
    <w:rsid w:val="003249E7"/>
    <w:rsid w:val="00332D7A"/>
    <w:rsid w:val="00347775"/>
    <w:rsid w:val="00353071"/>
    <w:rsid w:val="00357811"/>
    <w:rsid w:val="00361FF7"/>
    <w:rsid w:val="003639FC"/>
    <w:rsid w:val="00364276"/>
    <w:rsid w:val="003648BC"/>
    <w:rsid w:val="003734AD"/>
    <w:rsid w:val="00391060"/>
    <w:rsid w:val="003A28C9"/>
    <w:rsid w:val="003A4DC9"/>
    <w:rsid w:val="003A786E"/>
    <w:rsid w:val="003B3307"/>
    <w:rsid w:val="003C1660"/>
    <w:rsid w:val="003C1EA9"/>
    <w:rsid w:val="003C7FC0"/>
    <w:rsid w:val="003D2895"/>
    <w:rsid w:val="003D42CA"/>
    <w:rsid w:val="003D59C4"/>
    <w:rsid w:val="003F1D05"/>
    <w:rsid w:val="003F72FA"/>
    <w:rsid w:val="00400466"/>
    <w:rsid w:val="00401FF3"/>
    <w:rsid w:val="00402177"/>
    <w:rsid w:val="004024AC"/>
    <w:rsid w:val="00403B4D"/>
    <w:rsid w:val="00413FDE"/>
    <w:rsid w:val="00427275"/>
    <w:rsid w:val="004338F2"/>
    <w:rsid w:val="00437547"/>
    <w:rsid w:val="00441AD3"/>
    <w:rsid w:val="00443463"/>
    <w:rsid w:val="00444A8D"/>
    <w:rsid w:val="004465C4"/>
    <w:rsid w:val="004521A2"/>
    <w:rsid w:val="00465C72"/>
    <w:rsid w:val="004712F9"/>
    <w:rsid w:val="0047278A"/>
    <w:rsid w:val="00474B1F"/>
    <w:rsid w:val="00484418"/>
    <w:rsid w:val="00486288"/>
    <w:rsid w:val="00493E28"/>
    <w:rsid w:val="00496D88"/>
    <w:rsid w:val="004A169E"/>
    <w:rsid w:val="004B0DE3"/>
    <w:rsid w:val="004B1479"/>
    <w:rsid w:val="004B1D41"/>
    <w:rsid w:val="004B5B4E"/>
    <w:rsid w:val="004B64AF"/>
    <w:rsid w:val="004C2A43"/>
    <w:rsid w:val="004C55D1"/>
    <w:rsid w:val="004E1160"/>
    <w:rsid w:val="004E1D81"/>
    <w:rsid w:val="004F2D9F"/>
    <w:rsid w:val="004F36B3"/>
    <w:rsid w:val="00507A08"/>
    <w:rsid w:val="00512D89"/>
    <w:rsid w:val="00546AC6"/>
    <w:rsid w:val="0056580C"/>
    <w:rsid w:val="00567A6E"/>
    <w:rsid w:val="00573F4A"/>
    <w:rsid w:val="005765B9"/>
    <w:rsid w:val="00576CFF"/>
    <w:rsid w:val="00577803"/>
    <w:rsid w:val="00580BEC"/>
    <w:rsid w:val="00582626"/>
    <w:rsid w:val="005834CC"/>
    <w:rsid w:val="00587CEE"/>
    <w:rsid w:val="005C047B"/>
    <w:rsid w:val="005C0DD6"/>
    <w:rsid w:val="005D071D"/>
    <w:rsid w:val="005D3FC1"/>
    <w:rsid w:val="005D6B32"/>
    <w:rsid w:val="005F3B55"/>
    <w:rsid w:val="006003E4"/>
    <w:rsid w:val="00604BE3"/>
    <w:rsid w:val="0061014D"/>
    <w:rsid w:val="0061129C"/>
    <w:rsid w:val="00616697"/>
    <w:rsid w:val="00620081"/>
    <w:rsid w:val="006225B4"/>
    <w:rsid w:val="00633612"/>
    <w:rsid w:val="00641101"/>
    <w:rsid w:val="006463F3"/>
    <w:rsid w:val="00651E0A"/>
    <w:rsid w:val="0066179E"/>
    <w:rsid w:val="00663594"/>
    <w:rsid w:val="00663AF6"/>
    <w:rsid w:val="00665494"/>
    <w:rsid w:val="00671A67"/>
    <w:rsid w:val="00677617"/>
    <w:rsid w:val="00690D2C"/>
    <w:rsid w:val="006939C3"/>
    <w:rsid w:val="00695C75"/>
    <w:rsid w:val="006B2716"/>
    <w:rsid w:val="006B7F26"/>
    <w:rsid w:val="006C6456"/>
    <w:rsid w:val="006C6D52"/>
    <w:rsid w:val="006E53FC"/>
    <w:rsid w:val="006E73AF"/>
    <w:rsid w:val="0070292C"/>
    <w:rsid w:val="007038CF"/>
    <w:rsid w:val="007126F9"/>
    <w:rsid w:val="00714C99"/>
    <w:rsid w:val="00717BA8"/>
    <w:rsid w:val="007200B1"/>
    <w:rsid w:val="00721F73"/>
    <w:rsid w:val="00724E84"/>
    <w:rsid w:val="00731C8B"/>
    <w:rsid w:val="00732C71"/>
    <w:rsid w:val="0074290E"/>
    <w:rsid w:val="0074373E"/>
    <w:rsid w:val="007448A8"/>
    <w:rsid w:val="0076309B"/>
    <w:rsid w:val="0076425C"/>
    <w:rsid w:val="0076704B"/>
    <w:rsid w:val="00771B8E"/>
    <w:rsid w:val="0078021A"/>
    <w:rsid w:val="007814B7"/>
    <w:rsid w:val="007853B2"/>
    <w:rsid w:val="007872EC"/>
    <w:rsid w:val="00791307"/>
    <w:rsid w:val="00795301"/>
    <w:rsid w:val="007A1A06"/>
    <w:rsid w:val="007A6053"/>
    <w:rsid w:val="007B011D"/>
    <w:rsid w:val="007B33DF"/>
    <w:rsid w:val="007B4DDD"/>
    <w:rsid w:val="007B5579"/>
    <w:rsid w:val="007B7CA2"/>
    <w:rsid w:val="007C00E1"/>
    <w:rsid w:val="007C2CD3"/>
    <w:rsid w:val="007C30D9"/>
    <w:rsid w:val="007C3194"/>
    <w:rsid w:val="007C32F0"/>
    <w:rsid w:val="007C4954"/>
    <w:rsid w:val="007C6D9F"/>
    <w:rsid w:val="007E00ED"/>
    <w:rsid w:val="007E6AE4"/>
    <w:rsid w:val="007E7CB9"/>
    <w:rsid w:val="007F0270"/>
    <w:rsid w:val="007F04B7"/>
    <w:rsid w:val="0080285D"/>
    <w:rsid w:val="00804712"/>
    <w:rsid w:val="00806290"/>
    <w:rsid w:val="00807B75"/>
    <w:rsid w:val="00812726"/>
    <w:rsid w:val="00815D83"/>
    <w:rsid w:val="008175F0"/>
    <w:rsid w:val="00821150"/>
    <w:rsid w:val="00823BC1"/>
    <w:rsid w:val="008269EE"/>
    <w:rsid w:val="008278C0"/>
    <w:rsid w:val="00836427"/>
    <w:rsid w:val="00836952"/>
    <w:rsid w:val="00843F4E"/>
    <w:rsid w:val="008451A1"/>
    <w:rsid w:val="008464A4"/>
    <w:rsid w:val="00855898"/>
    <w:rsid w:val="008570EF"/>
    <w:rsid w:val="00861E61"/>
    <w:rsid w:val="008714BE"/>
    <w:rsid w:val="0087550F"/>
    <w:rsid w:val="00876BA9"/>
    <w:rsid w:val="0088298E"/>
    <w:rsid w:val="00884742"/>
    <w:rsid w:val="00887DC5"/>
    <w:rsid w:val="00890928"/>
    <w:rsid w:val="00892332"/>
    <w:rsid w:val="008C279D"/>
    <w:rsid w:val="008C2D3A"/>
    <w:rsid w:val="008C3428"/>
    <w:rsid w:val="008C5D9F"/>
    <w:rsid w:val="008C6261"/>
    <w:rsid w:val="008D26F9"/>
    <w:rsid w:val="008E16F9"/>
    <w:rsid w:val="008E2FBC"/>
    <w:rsid w:val="008E439C"/>
    <w:rsid w:val="00902C2A"/>
    <w:rsid w:val="00905820"/>
    <w:rsid w:val="00907AD1"/>
    <w:rsid w:val="00911BEA"/>
    <w:rsid w:val="00914E39"/>
    <w:rsid w:val="0091518B"/>
    <w:rsid w:val="00922339"/>
    <w:rsid w:val="009225FE"/>
    <w:rsid w:val="0093208D"/>
    <w:rsid w:val="00934CA5"/>
    <w:rsid w:val="009411BF"/>
    <w:rsid w:val="00942843"/>
    <w:rsid w:val="009442CF"/>
    <w:rsid w:val="0094626A"/>
    <w:rsid w:val="009560DD"/>
    <w:rsid w:val="00957E00"/>
    <w:rsid w:val="00961A2E"/>
    <w:rsid w:val="00971ADF"/>
    <w:rsid w:val="009847C8"/>
    <w:rsid w:val="00986AC7"/>
    <w:rsid w:val="009873FE"/>
    <w:rsid w:val="009920F5"/>
    <w:rsid w:val="009A2268"/>
    <w:rsid w:val="009A5107"/>
    <w:rsid w:val="009B6A63"/>
    <w:rsid w:val="009C0916"/>
    <w:rsid w:val="009E150A"/>
    <w:rsid w:val="009F4B21"/>
    <w:rsid w:val="00A004E5"/>
    <w:rsid w:val="00A00658"/>
    <w:rsid w:val="00A03212"/>
    <w:rsid w:val="00A0733E"/>
    <w:rsid w:val="00A13734"/>
    <w:rsid w:val="00A16C53"/>
    <w:rsid w:val="00A21592"/>
    <w:rsid w:val="00A22B80"/>
    <w:rsid w:val="00A22CDD"/>
    <w:rsid w:val="00A23881"/>
    <w:rsid w:val="00A34215"/>
    <w:rsid w:val="00A51897"/>
    <w:rsid w:val="00A53CD3"/>
    <w:rsid w:val="00A71B3D"/>
    <w:rsid w:val="00A72788"/>
    <w:rsid w:val="00A7504A"/>
    <w:rsid w:val="00A75BEB"/>
    <w:rsid w:val="00A81ACA"/>
    <w:rsid w:val="00A92D13"/>
    <w:rsid w:val="00A96EF4"/>
    <w:rsid w:val="00A9799B"/>
    <w:rsid w:val="00AA274B"/>
    <w:rsid w:val="00AB0F79"/>
    <w:rsid w:val="00AB3470"/>
    <w:rsid w:val="00AB40B1"/>
    <w:rsid w:val="00AC75B5"/>
    <w:rsid w:val="00AD1EB5"/>
    <w:rsid w:val="00AD348F"/>
    <w:rsid w:val="00AD50B4"/>
    <w:rsid w:val="00AE0DA3"/>
    <w:rsid w:val="00AE5F50"/>
    <w:rsid w:val="00AF07DC"/>
    <w:rsid w:val="00AF1C05"/>
    <w:rsid w:val="00AF1F50"/>
    <w:rsid w:val="00AF33D6"/>
    <w:rsid w:val="00AF4809"/>
    <w:rsid w:val="00AF59E7"/>
    <w:rsid w:val="00AF6B86"/>
    <w:rsid w:val="00B01F63"/>
    <w:rsid w:val="00B154E6"/>
    <w:rsid w:val="00B15573"/>
    <w:rsid w:val="00B172C6"/>
    <w:rsid w:val="00B216B7"/>
    <w:rsid w:val="00B23FF0"/>
    <w:rsid w:val="00B25168"/>
    <w:rsid w:val="00B32A16"/>
    <w:rsid w:val="00B35EEB"/>
    <w:rsid w:val="00B40B37"/>
    <w:rsid w:val="00B44772"/>
    <w:rsid w:val="00B44FEE"/>
    <w:rsid w:val="00B46567"/>
    <w:rsid w:val="00B50C62"/>
    <w:rsid w:val="00B554CC"/>
    <w:rsid w:val="00B578A8"/>
    <w:rsid w:val="00B610B2"/>
    <w:rsid w:val="00B61DEA"/>
    <w:rsid w:val="00B6261C"/>
    <w:rsid w:val="00B63F6F"/>
    <w:rsid w:val="00B70EC7"/>
    <w:rsid w:val="00B718BD"/>
    <w:rsid w:val="00B92944"/>
    <w:rsid w:val="00B953DA"/>
    <w:rsid w:val="00BA18A6"/>
    <w:rsid w:val="00BA69BD"/>
    <w:rsid w:val="00BC09B0"/>
    <w:rsid w:val="00BC2933"/>
    <w:rsid w:val="00BC6DFB"/>
    <w:rsid w:val="00BD4433"/>
    <w:rsid w:val="00BD720B"/>
    <w:rsid w:val="00BE0424"/>
    <w:rsid w:val="00BE2EB4"/>
    <w:rsid w:val="00BF044B"/>
    <w:rsid w:val="00BF1BD4"/>
    <w:rsid w:val="00BF6713"/>
    <w:rsid w:val="00C00863"/>
    <w:rsid w:val="00C03BA0"/>
    <w:rsid w:val="00C11DD8"/>
    <w:rsid w:val="00C151CE"/>
    <w:rsid w:val="00C24D0F"/>
    <w:rsid w:val="00C27158"/>
    <w:rsid w:val="00C27756"/>
    <w:rsid w:val="00C30E97"/>
    <w:rsid w:val="00C33E69"/>
    <w:rsid w:val="00C35A43"/>
    <w:rsid w:val="00C43FE5"/>
    <w:rsid w:val="00C44EDC"/>
    <w:rsid w:val="00C45827"/>
    <w:rsid w:val="00C54743"/>
    <w:rsid w:val="00C73589"/>
    <w:rsid w:val="00C76DC8"/>
    <w:rsid w:val="00C842E6"/>
    <w:rsid w:val="00C84BDC"/>
    <w:rsid w:val="00C953B7"/>
    <w:rsid w:val="00C9599B"/>
    <w:rsid w:val="00C95B81"/>
    <w:rsid w:val="00CA5C85"/>
    <w:rsid w:val="00CA7BED"/>
    <w:rsid w:val="00CB02A5"/>
    <w:rsid w:val="00CB5E41"/>
    <w:rsid w:val="00CB77AD"/>
    <w:rsid w:val="00CC0DE8"/>
    <w:rsid w:val="00CC6D5A"/>
    <w:rsid w:val="00CD00BC"/>
    <w:rsid w:val="00CD03DD"/>
    <w:rsid w:val="00CD1E50"/>
    <w:rsid w:val="00CD53F4"/>
    <w:rsid w:val="00CD6406"/>
    <w:rsid w:val="00CD7D73"/>
    <w:rsid w:val="00CE2FBF"/>
    <w:rsid w:val="00CE390B"/>
    <w:rsid w:val="00CE5A10"/>
    <w:rsid w:val="00CE698B"/>
    <w:rsid w:val="00CF1905"/>
    <w:rsid w:val="00CF1A08"/>
    <w:rsid w:val="00CF2637"/>
    <w:rsid w:val="00D00611"/>
    <w:rsid w:val="00D01ACC"/>
    <w:rsid w:val="00D11332"/>
    <w:rsid w:val="00D11A8F"/>
    <w:rsid w:val="00D121A4"/>
    <w:rsid w:val="00D2590D"/>
    <w:rsid w:val="00D30F74"/>
    <w:rsid w:val="00D3635C"/>
    <w:rsid w:val="00D36DFD"/>
    <w:rsid w:val="00D430CF"/>
    <w:rsid w:val="00D508CB"/>
    <w:rsid w:val="00D50FDF"/>
    <w:rsid w:val="00D52D2C"/>
    <w:rsid w:val="00D557B4"/>
    <w:rsid w:val="00D64D18"/>
    <w:rsid w:val="00D660B6"/>
    <w:rsid w:val="00D67484"/>
    <w:rsid w:val="00D7132F"/>
    <w:rsid w:val="00D7151C"/>
    <w:rsid w:val="00D7299C"/>
    <w:rsid w:val="00D74053"/>
    <w:rsid w:val="00D93C5E"/>
    <w:rsid w:val="00DA1FE0"/>
    <w:rsid w:val="00DA5DDB"/>
    <w:rsid w:val="00DB0518"/>
    <w:rsid w:val="00DB1995"/>
    <w:rsid w:val="00DB2814"/>
    <w:rsid w:val="00DB5E7C"/>
    <w:rsid w:val="00DB68ED"/>
    <w:rsid w:val="00DB777F"/>
    <w:rsid w:val="00DB7932"/>
    <w:rsid w:val="00DC052D"/>
    <w:rsid w:val="00DC4557"/>
    <w:rsid w:val="00DC4902"/>
    <w:rsid w:val="00DE1232"/>
    <w:rsid w:val="00DF45DB"/>
    <w:rsid w:val="00DF46A6"/>
    <w:rsid w:val="00E002CC"/>
    <w:rsid w:val="00E110B3"/>
    <w:rsid w:val="00E14E1F"/>
    <w:rsid w:val="00E15344"/>
    <w:rsid w:val="00E16CE8"/>
    <w:rsid w:val="00E17CA5"/>
    <w:rsid w:val="00E22524"/>
    <w:rsid w:val="00E22D40"/>
    <w:rsid w:val="00E244D4"/>
    <w:rsid w:val="00E4143B"/>
    <w:rsid w:val="00E45506"/>
    <w:rsid w:val="00E457B3"/>
    <w:rsid w:val="00E478F9"/>
    <w:rsid w:val="00E51922"/>
    <w:rsid w:val="00E53572"/>
    <w:rsid w:val="00E53F6F"/>
    <w:rsid w:val="00E61B3F"/>
    <w:rsid w:val="00E65CF6"/>
    <w:rsid w:val="00E67186"/>
    <w:rsid w:val="00E673F3"/>
    <w:rsid w:val="00E7062A"/>
    <w:rsid w:val="00E70874"/>
    <w:rsid w:val="00E74CA2"/>
    <w:rsid w:val="00E90057"/>
    <w:rsid w:val="00E935B7"/>
    <w:rsid w:val="00E94323"/>
    <w:rsid w:val="00EA3731"/>
    <w:rsid w:val="00EB223A"/>
    <w:rsid w:val="00EB3465"/>
    <w:rsid w:val="00EB4A2D"/>
    <w:rsid w:val="00EB5D16"/>
    <w:rsid w:val="00EB762E"/>
    <w:rsid w:val="00ED0F7A"/>
    <w:rsid w:val="00ED71FC"/>
    <w:rsid w:val="00EE08A6"/>
    <w:rsid w:val="00EE0EA8"/>
    <w:rsid w:val="00EE1DB0"/>
    <w:rsid w:val="00EE503B"/>
    <w:rsid w:val="00EF00A0"/>
    <w:rsid w:val="00EF7EB7"/>
    <w:rsid w:val="00F03940"/>
    <w:rsid w:val="00F03C71"/>
    <w:rsid w:val="00F05669"/>
    <w:rsid w:val="00F07456"/>
    <w:rsid w:val="00F11962"/>
    <w:rsid w:val="00F22013"/>
    <w:rsid w:val="00F23696"/>
    <w:rsid w:val="00F238D6"/>
    <w:rsid w:val="00F37E8D"/>
    <w:rsid w:val="00F44758"/>
    <w:rsid w:val="00F5750B"/>
    <w:rsid w:val="00F6305C"/>
    <w:rsid w:val="00F65474"/>
    <w:rsid w:val="00F65CBF"/>
    <w:rsid w:val="00F843A5"/>
    <w:rsid w:val="00F86DE4"/>
    <w:rsid w:val="00F8792F"/>
    <w:rsid w:val="00F90D75"/>
    <w:rsid w:val="00F93D98"/>
    <w:rsid w:val="00F96985"/>
    <w:rsid w:val="00FA2DBA"/>
    <w:rsid w:val="00FA3125"/>
    <w:rsid w:val="00FB3433"/>
    <w:rsid w:val="00FB57B8"/>
    <w:rsid w:val="00FB6DA8"/>
    <w:rsid w:val="00FC5A8B"/>
    <w:rsid w:val="00FD0D55"/>
    <w:rsid w:val="00FD3348"/>
    <w:rsid w:val="00FD4912"/>
    <w:rsid w:val="00FE13D7"/>
    <w:rsid w:val="00FE63F6"/>
    <w:rsid w:val="00FE6DBE"/>
    <w:rsid w:val="00FF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CB95D"/>
  <w15:chartTrackingRefBased/>
  <w15:docId w15:val="{E91A12C7-4BA8-4063-BA00-DEFAB0F7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9FE"/>
    <w:pPr>
      <w:spacing w:after="0" w:line="240" w:lineRule="auto"/>
    </w:pPr>
    <w:rPr>
      <w:rFonts w:eastAsia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E00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53FC"/>
    <w:pPr>
      <w:keepNext/>
      <w:keepLines/>
      <w:spacing w:before="40"/>
      <w:outlineLvl w:val="1"/>
    </w:pPr>
    <w:rPr>
      <w:rFonts w:ascii="Calibri Light" w:hAnsi="Calibri Light"/>
      <w:b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E53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E53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E53FC"/>
    <w:rPr>
      <w:rFonts w:ascii="Calibri Light" w:eastAsia="Times New Roman" w:hAnsi="Calibri Light" w:cs="Times New Roman"/>
      <w:b/>
      <w:szCs w:val="26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0E7ED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E7ED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E53FC"/>
    <w:rPr>
      <w:rFonts w:asciiTheme="majorHAnsi" w:eastAsiaTheme="majorEastAsia" w:hAnsiTheme="majorHAnsi" w:cstheme="majorBidi"/>
      <w:b/>
      <w:color w:val="1F3763" w:themeColor="accent1" w:themeShade="7F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E7ED7"/>
    <w:pPr>
      <w:spacing w:before="100" w:beforeAutospacing="1" w:after="100" w:afterAutospacing="1"/>
    </w:pPr>
    <w:rPr>
      <w:sz w:val="24"/>
      <w:szCs w:val="24"/>
      <w:lang w:val="es-SV" w:eastAsia="es-SV"/>
    </w:rPr>
  </w:style>
  <w:style w:type="character" w:customStyle="1" w:styleId="Ttulo1Car">
    <w:name w:val="Título 1 Car"/>
    <w:basedOn w:val="Fuentedeprrafopredeter"/>
    <w:link w:val="Ttulo1"/>
    <w:uiPriority w:val="9"/>
    <w:rsid w:val="000E0053"/>
    <w:rPr>
      <w:rFonts w:asciiTheme="majorHAnsi" w:eastAsiaTheme="majorEastAsia" w:hAnsiTheme="majorHAnsi" w:cstheme="majorBidi"/>
      <w:b/>
      <w:color w:val="000000" w:themeColor="text1"/>
      <w:sz w:val="28"/>
      <w:szCs w:val="32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B44772"/>
    <w:pPr>
      <w:spacing w:line="259" w:lineRule="auto"/>
      <w:outlineLvl w:val="9"/>
    </w:pPr>
    <w:rPr>
      <w:lang w:val="es-SV"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B44772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B44772"/>
    <w:pPr>
      <w:spacing w:after="100"/>
      <w:ind w:left="400"/>
    </w:pPr>
  </w:style>
  <w:style w:type="paragraph" w:styleId="TDC1">
    <w:name w:val="toc 1"/>
    <w:basedOn w:val="Normal"/>
    <w:next w:val="Normal"/>
    <w:autoRedefine/>
    <w:uiPriority w:val="39"/>
    <w:unhideWhenUsed/>
    <w:rsid w:val="00B4477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4477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64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406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1129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1129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1129C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6E53FC"/>
    <w:rPr>
      <w:rFonts w:asciiTheme="majorHAnsi" w:eastAsiaTheme="majorEastAsia" w:hAnsiTheme="majorHAnsi" w:cstheme="majorBidi"/>
      <w:b/>
      <w:i/>
      <w:iCs/>
      <w:color w:val="000000" w:themeColor="text1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C1E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C1EA9"/>
  </w:style>
  <w:style w:type="character" w:customStyle="1" w:styleId="TextocomentarioCar">
    <w:name w:val="Texto comentario Car"/>
    <w:basedOn w:val="Fuentedeprrafopredeter"/>
    <w:link w:val="Textocomentario"/>
    <w:uiPriority w:val="99"/>
    <w:rsid w:val="003C1EA9"/>
    <w:rPr>
      <w:rFonts w:eastAsia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E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1EA9"/>
    <w:rPr>
      <w:rFonts w:eastAsia="Times New Roman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8269EE"/>
    <w:pPr>
      <w:spacing w:after="0" w:line="240" w:lineRule="auto"/>
    </w:pPr>
    <w:rPr>
      <w:rFonts w:eastAsia="Times New Roman" w:cs="Times New Roman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7659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6592"/>
    <w:rPr>
      <w:rFonts w:eastAsia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765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3.xlsx"/><Relationship Id="rId18" Type="http://schemas.openxmlformats.org/officeDocument/2006/relationships/chart" Target="charts/chart6.xml"/><Relationship Id="rId26" Type="http://schemas.openxmlformats.org/officeDocument/2006/relationships/image" Target="media/image6.emf"/><Relationship Id="rId21" Type="http://schemas.openxmlformats.org/officeDocument/2006/relationships/image" Target="media/image5.emf"/><Relationship Id="rId34" Type="http://schemas.openxmlformats.org/officeDocument/2006/relationships/package" Target="embeddings/Microsoft_Excel_Worksheet15.xls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5.xml"/><Relationship Id="rId25" Type="http://schemas.openxmlformats.org/officeDocument/2006/relationships/chart" Target="charts/chart9.xml"/><Relationship Id="rId33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package" Target="embeddings/Microsoft_Excel_Worksheet8.xlsx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8.xml"/><Relationship Id="rId32" Type="http://schemas.openxmlformats.org/officeDocument/2006/relationships/package" Target="embeddings/Microsoft_Excel_Worksheet14.xlsx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4.xlsx"/><Relationship Id="rId23" Type="http://schemas.openxmlformats.org/officeDocument/2006/relationships/chart" Target="charts/chart7.xml"/><Relationship Id="rId28" Type="http://schemas.openxmlformats.org/officeDocument/2006/relationships/package" Target="embeddings/Microsoft_Excel_Worksheet12.xlsx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emf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emf"/><Relationship Id="rId22" Type="http://schemas.openxmlformats.org/officeDocument/2006/relationships/package" Target="embeddings/Microsoft_Excel_Worksheet9.xlsx"/><Relationship Id="rId27" Type="http://schemas.openxmlformats.org/officeDocument/2006/relationships/image" Target="media/image7.emf"/><Relationship Id="rId30" Type="http://schemas.openxmlformats.org/officeDocument/2006/relationships/package" Target="embeddings/Microsoft_Excel_Worksheet13.xlsx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2025\excel\coyuntura%20fiscal\segundo%20trimestre\Tablas%20y%20graficas%20fiscal%202018-202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Tributarios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2361.1</c:v>
                </c:pt>
                <c:pt idx="1">
                  <c:v>3079.7</c:v>
                </c:pt>
                <c:pt idx="2">
                  <c:v>3663.4</c:v>
                </c:pt>
                <c:pt idx="3">
                  <c:v>3685.4</c:v>
                </c:pt>
                <c:pt idx="4">
                  <c:v>4057</c:v>
                </c:pt>
                <c:pt idx="5">
                  <c:v>4370.2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5-420E-B07F-F2F8958539D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No tributarios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447.8</c:v>
                </c:pt>
                <c:pt idx="1">
                  <c:v>459.4</c:v>
                </c:pt>
                <c:pt idx="2">
                  <c:v>505.6</c:v>
                </c:pt>
                <c:pt idx="3">
                  <c:v>577.70000000000005</c:v>
                </c:pt>
                <c:pt idx="4">
                  <c:v>594.20000000000005</c:v>
                </c:pt>
                <c:pt idx="5">
                  <c:v>640.70000000000005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F5-420E-B07F-F2F8958539DF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Superavit de empr. públicas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  <c:numCache>
                <c:formatCode>#,##0.0</c:formatCode>
                <c:ptCount val="6"/>
                <c:pt idx="0">
                  <c:v>19.100000000000001</c:v>
                </c:pt>
                <c:pt idx="1">
                  <c:v>48.7</c:v>
                </c:pt>
                <c:pt idx="2">
                  <c:v>64.2</c:v>
                </c:pt>
                <c:pt idx="3">
                  <c:v>63.8</c:v>
                </c:pt>
                <c:pt idx="4">
                  <c:v>85.1</c:v>
                </c:pt>
                <c:pt idx="5">
                  <c:v>67.7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F5-420E-B07F-F2F895853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2013745999"/>
        <c:axId val="1702279839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Hoja1!$E$1</c15:sqref>
                        </c15:formulaRef>
                      </c:ext>
                    </c:extLst>
                    <c:strCache>
                      <c:ptCount val="1"/>
                      <c:pt idx="0">
                        <c:v>Donac. e ingr. de capital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Hoja1!$A$2:$A$7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2020</c:v>
                      </c:pt>
                      <c:pt idx="1">
                        <c:v>2021</c:v>
                      </c:pt>
                      <c:pt idx="2">
                        <c:v>2022</c:v>
                      </c:pt>
                      <c:pt idx="3">
                        <c:v>2023</c:v>
                      </c:pt>
                      <c:pt idx="4">
                        <c:v>2024</c:v>
                      </c:pt>
                      <c:pt idx="5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Hoja1!$E$2:$E$7</c15:sqref>
                        </c15:formulaRef>
                      </c:ext>
                    </c:extLst>
                    <c:numCache>
                      <c:formatCode>#,##0.0</c:formatCode>
                      <c:ptCount val="6"/>
                      <c:pt idx="0">
                        <c:v>52.4</c:v>
                      </c:pt>
                      <c:pt idx="1">
                        <c:v>5.7</c:v>
                      </c:pt>
                      <c:pt idx="2">
                        <c:v>9.8000000000000007</c:v>
                      </c:pt>
                      <c:pt idx="3">
                        <c:v>3.3</c:v>
                      </c:pt>
                      <c:pt idx="4">
                        <c:v>20.2</c:v>
                      </c:pt>
                      <c:pt idx="5">
                        <c:v>11.8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62F5-420E-B07F-F2F8958539DF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4"/>
          <c:order val="4"/>
          <c:tx>
            <c:strRef>
              <c:f>Hoja1!$F$1</c:f>
              <c:strCache>
                <c:ptCount val="1"/>
                <c:pt idx="0">
                  <c:v>Ing. Totales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Hoja1!$F$2:$F$7</c:f>
              <c:numCache>
                <c:formatCode>#,##0.0</c:formatCode>
                <c:ptCount val="6"/>
                <c:pt idx="0">
                  <c:v>2880.3</c:v>
                </c:pt>
                <c:pt idx="1">
                  <c:v>3593.3999999999996</c:v>
                </c:pt>
                <c:pt idx="2">
                  <c:v>4242.8999999999996</c:v>
                </c:pt>
                <c:pt idx="3">
                  <c:v>4330.1000000000004</c:v>
                </c:pt>
                <c:pt idx="4">
                  <c:v>4756.3999999999996</c:v>
                </c:pt>
                <c:pt idx="5">
                  <c:v>5090.2999999999993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2F5-420E-B07F-F2F895853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3745999"/>
        <c:axId val="1702279839"/>
      </c:lineChart>
      <c:lineChart>
        <c:grouping val="standard"/>
        <c:varyColors val="0"/>
        <c:ser>
          <c:idx val="5"/>
          <c:order val="5"/>
          <c:tx>
            <c:strRef>
              <c:f>Hoja1!$G$1</c:f>
              <c:strCache>
                <c:ptCount val="1"/>
                <c:pt idx="0">
                  <c:v>% del PIB (eje der.)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Hoja1!$G$2:$G$7</c:f>
              <c:numCache>
                <c:formatCode>#,##0.0</c:formatCode>
                <c:ptCount val="6"/>
                <c:pt idx="0">
                  <c:v>11.557634286324211</c:v>
                </c:pt>
                <c:pt idx="1">
                  <c:v>12.2</c:v>
                </c:pt>
                <c:pt idx="2">
                  <c:v>13.1</c:v>
                </c:pt>
                <c:pt idx="3">
                  <c:v>12.7</c:v>
                </c:pt>
                <c:pt idx="4">
                  <c:v>13.2</c:v>
                </c:pt>
                <c:pt idx="5">
                  <c:v>13.859264603781801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2F5-420E-B07F-F2F895853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8032623"/>
        <c:axId val="2011931903"/>
      </c:lineChart>
      <c:catAx>
        <c:axId val="2013745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702279839"/>
        <c:crosses val="autoZero"/>
        <c:auto val="1"/>
        <c:lblAlgn val="ctr"/>
        <c:lblOffset val="100"/>
        <c:noMultiLvlLbl val="0"/>
      </c:catAx>
      <c:valAx>
        <c:axId val="1702279839"/>
        <c:scaling>
          <c:orientation val="minMax"/>
        </c:scaling>
        <c:delete val="0"/>
        <c:axPos val="l"/>
        <c:numFmt formatCode="#,##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013745999"/>
        <c:crosses val="autoZero"/>
        <c:crossBetween val="between"/>
      </c:valAx>
      <c:valAx>
        <c:axId val="2011931903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28032623"/>
        <c:crosses val="max"/>
        <c:crossBetween val="between"/>
      </c:valAx>
      <c:catAx>
        <c:axId val="212803262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1931903"/>
        <c:crosses val="autoZero"/>
        <c:auto val="1"/>
        <c:lblAlgn val="ctr"/>
        <c:lblOffset val="100"/>
        <c:noMultiLvlLbl val="0"/>
      </c:catAx>
      <c:dTable>
        <c:showHorzBorder val="0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IT</c:v>
                </c:pt>
              </c:strCache>
            </c:strRef>
          </c:tx>
          <c:spPr>
            <a:solidFill>
              <a:srgbClr val="2E75B6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2361.1</c:v>
                </c:pt>
                <c:pt idx="1">
                  <c:v>3079.7</c:v>
                </c:pt>
                <c:pt idx="2">
                  <c:v>3663.4</c:v>
                </c:pt>
                <c:pt idx="3">
                  <c:v>3676.1</c:v>
                </c:pt>
                <c:pt idx="4">
                  <c:v>4057</c:v>
                </c:pt>
                <c:pt idx="5">
                  <c:v>4370.2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9-4A83-A5FD-5AD8ACA1DDD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</c:numRef>
          </c:val>
          <c:extLst>
            <c:ext xmlns:c16="http://schemas.microsoft.com/office/drawing/2014/chart" uri="{C3380CC4-5D6E-409C-BE32-E72D297353CC}">
              <c16:uniqueId val="{00000001-90B9-4A83-A5FD-5AD8ACA1D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012565695"/>
        <c:axId val="2019989759"/>
      </c:barChart>
      <c:lineChart>
        <c:grouping val="standard"/>
        <c:varyColors val="0"/>
        <c:ser>
          <c:idx val="1"/>
          <c:order val="1"/>
          <c:tx>
            <c:strRef>
              <c:f>Hoja1!$C$1</c:f>
              <c:strCache>
                <c:ptCount val="1"/>
                <c:pt idx="0">
                  <c:v>% PIB</c:v>
                </c:pt>
              </c:strCache>
            </c:strRef>
          </c:tx>
          <c:spPr>
            <a:ln w="28575" cap="rnd">
              <a:solidFill>
                <a:srgbClr val="BDD7EE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BDD7EE"/>
              </a:solidFill>
              <a:ln w="9525">
                <a:solidFill>
                  <a:srgbClr val="BDD7EE"/>
                </a:solidFill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9.4742666782765994</c:v>
                </c:pt>
                <c:pt idx="1">
                  <c:v>10.603880985320458</c:v>
                </c:pt>
                <c:pt idx="2">
                  <c:v>11.49478664955554</c:v>
                </c:pt>
                <c:pt idx="3">
                  <c:v>10.858719379451111</c:v>
                </c:pt>
                <c:pt idx="4">
                  <c:v>11.471794146755267</c:v>
                </c:pt>
                <c:pt idx="5">
                  <c:v>11.898661802142749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B9-4A83-A5FD-5AD8ACA1D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9927343"/>
        <c:axId val="2134296511"/>
      </c:lineChart>
      <c:catAx>
        <c:axId val="201256569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019989759"/>
        <c:crosses val="autoZero"/>
        <c:auto val="1"/>
        <c:lblAlgn val="ctr"/>
        <c:lblOffset val="100"/>
        <c:noMultiLvlLbl val="0"/>
      </c:catAx>
      <c:valAx>
        <c:axId val="2019989759"/>
        <c:scaling>
          <c:orientation val="minMax"/>
          <c:min val="8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Millones US$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012565695"/>
        <c:crosses val="autoZero"/>
        <c:crossBetween val="between"/>
      </c:valAx>
      <c:valAx>
        <c:axId val="2134296511"/>
        <c:scaling>
          <c:orientation val="minMax"/>
          <c:min val="3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Porcentaje del PIB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39927343"/>
        <c:crosses val="max"/>
        <c:crossBetween val="between"/>
      </c:valAx>
      <c:catAx>
        <c:axId val="213992734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3429651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IVA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989.8</c:v>
                </c:pt>
                <c:pt idx="1">
                  <c:v>1357</c:v>
                </c:pt>
                <c:pt idx="2">
                  <c:v>1564.7</c:v>
                </c:pt>
                <c:pt idx="3">
                  <c:v>1548</c:v>
                </c:pt>
                <c:pt idx="4">
                  <c:v>1740.5</c:v>
                </c:pt>
                <c:pt idx="5">
                  <c:v>1883.2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F7-43C8-B7CA-98B1D6327A1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ISR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1019</c:v>
                </c:pt>
                <c:pt idx="1">
                  <c:v>1298</c:v>
                </c:pt>
                <c:pt idx="2">
                  <c:v>1718.6</c:v>
                </c:pt>
                <c:pt idx="3">
                  <c:v>1739.2</c:v>
                </c:pt>
                <c:pt idx="4">
                  <c:v>1886.8</c:v>
                </c:pt>
                <c:pt idx="5">
                  <c:v>2023.8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F7-43C8-B7CA-98B1D6327A16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Aranceles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  <c:numCache>
                <c:formatCode>#,##0.0</c:formatCode>
                <c:ptCount val="6"/>
                <c:pt idx="0">
                  <c:v>82.4</c:v>
                </c:pt>
                <c:pt idx="1">
                  <c:v>132.30000000000001</c:v>
                </c:pt>
                <c:pt idx="2">
                  <c:v>152.1</c:v>
                </c:pt>
                <c:pt idx="3">
                  <c:v>150.1</c:v>
                </c:pt>
                <c:pt idx="4">
                  <c:v>159.6</c:v>
                </c:pt>
                <c:pt idx="5">
                  <c:v>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F7-43C8-B7CA-98B1D6327A16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Espec.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Hoja1!$E$2:$E$7</c:f>
              <c:numCache>
                <c:formatCode>#,##0.0</c:formatCode>
                <c:ptCount val="6"/>
                <c:pt idx="0">
                  <c:v>86.3</c:v>
                </c:pt>
                <c:pt idx="1">
                  <c:v>111</c:v>
                </c:pt>
                <c:pt idx="2">
                  <c:v>116.4</c:v>
                </c:pt>
                <c:pt idx="3">
                  <c:v>114.2</c:v>
                </c:pt>
                <c:pt idx="4">
                  <c:v>118.1</c:v>
                </c:pt>
                <c:pt idx="5">
                  <c:v>120.1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F7-43C8-B7CA-98B1D6327A16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Contrib. Espec.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Hoja1!$F$2:$F$7</c:f>
              <c:numCache>
                <c:formatCode>#,##0.0</c:formatCode>
                <c:ptCount val="6"/>
                <c:pt idx="0">
                  <c:v>170.5</c:v>
                </c:pt>
                <c:pt idx="1">
                  <c:v>154.6</c:v>
                </c:pt>
                <c:pt idx="2">
                  <c:v>78.599999999999994</c:v>
                </c:pt>
                <c:pt idx="3">
                  <c:v>83.1</c:v>
                </c:pt>
                <c:pt idx="4">
                  <c:v>98.9</c:v>
                </c:pt>
                <c:pt idx="5">
                  <c:v>103.2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F7-43C8-B7CA-98B1D6327A16}"/>
            </c:ext>
          </c:extLst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Otros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Hoja1!$G$2:$G$7</c:f>
              <c:numCache>
                <c:formatCode>#,##0.0</c:formatCode>
                <c:ptCount val="6"/>
                <c:pt idx="0">
                  <c:v>13.1</c:v>
                </c:pt>
                <c:pt idx="1">
                  <c:v>26.7</c:v>
                </c:pt>
                <c:pt idx="2">
                  <c:v>33</c:v>
                </c:pt>
                <c:pt idx="3">
                  <c:v>41.5</c:v>
                </c:pt>
                <c:pt idx="4">
                  <c:v>53.2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F7-43C8-B7CA-98B1D6327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218690975"/>
        <c:axId val="2134298591"/>
      </c:barChart>
      <c:lineChart>
        <c:grouping val="standard"/>
        <c:varyColors val="0"/>
        <c:ser>
          <c:idx val="6"/>
          <c:order val="6"/>
          <c:tx>
            <c:strRef>
              <c:f>Hoja1!$H$1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Hoja1!$H$2:$H$7</c:f>
              <c:numCache>
                <c:formatCode>#,##0.0</c:formatCode>
                <c:ptCount val="6"/>
                <c:pt idx="0">
                  <c:v>2361.1</c:v>
                </c:pt>
                <c:pt idx="1">
                  <c:v>3079.6</c:v>
                </c:pt>
                <c:pt idx="2">
                  <c:v>3663.4</c:v>
                </c:pt>
                <c:pt idx="3">
                  <c:v>3676.0999999999995</c:v>
                </c:pt>
                <c:pt idx="4">
                  <c:v>4057.1</c:v>
                </c:pt>
                <c:pt idx="5">
                  <c:v>4370.3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5F7-43C8-B7CA-98B1D6327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690975"/>
        <c:axId val="2134298591"/>
      </c:lineChart>
      <c:catAx>
        <c:axId val="218690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34298591"/>
        <c:crosses val="autoZero"/>
        <c:auto val="1"/>
        <c:lblAlgn val="ctr"/>
        <c:lblOffset val="100"/>
        <c:noMultiLvlLbl val="0"/>
      </c:catAx>
      <c:valAx>
        <c:axId val="2134298591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869097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Gasto Corriente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3484.9</c:v>
                </c:pt>
                <c:pt idx="1">
                  <c:v>3570.7</c:v>
                </c:pt>
                <c:pt idx="2">
                  <c:v>3756</c:v>
                </c:pt>
                <c:pt idx="3">
                  <c:v>3839.7</c:v>
                </c:pt>
                <c:pt idx="4">
                  <c:v>4583.5</c:v>
                </c:pt>
                <c:pt idx="5">
                  <c:v>4692.5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E-4289-9432-57C5FEBB8EE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Gasto de Capital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364.4</c:v>
                </c:pt>
                <c:pt idx="1">
                  <c:v>406</c:v>
                </c:pt>
                <c:pt idx="2">
                  <c:v>408.4</c:v>
                </c:pt>
                <c:pt idx="3">
                  <c:v>524.70000000000005</c:v>
                </c:pt>
                <c:pt idx="4">
                  <c:v>591.4</c:v>
                </c:pt>
                <c:pt idx="5">
                  <c:v>867.7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3E-4289-9432-57C5FEBB8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94533855"/>
        <c:axId val="216230159"/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533855"/>
        <c:axId val="216230159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Hoja1!$D$1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Hoja1!$A$2:$A$7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2020</c:v>
                      </c:pt>
                      <c:pt idx="1">
                        <c:v>2021</c:v>
                      </c:pt>
                      <c:pt idx="2">
                        <c:v>2022</c:v>
                      </c:pt>
                      <c:pt idx="3">
                        <c:v>2023</c:v>
                      </c:pt>
                      <c:pt idx="4">
                        <c:v>2024</c:v>
                      </c:pt>
                      <c:pt idx="5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Hoja1!$D$2:$D$7</c15:sqref>
                        </c15:formulaRef>
                      </c:ext>
                    </c:extLst>
                    <c:numCache>
                      <c:formatCode>#,##0.0</c:formatCode>
                      <c:ptCount val="6"/>
                      <c:pt idx="0">
                        <c:v>3849.3</c:v>
                      </c:pt>
                      <c:pt idx="1">
                        <c:v>3976.7</c:v>
                      </c:pt>
                      <c:pt idx="2">
                        <c:v>4164.3999999999996</c:v>
                      </c:pt>
                      <c:pt idx="3">
                        <c:v>4364.3999999999996</c:v>
                      </c:pt>
                      <c:pt idx="4">
                        <c:v>5174.8999999999996</c:v>
                      </c:pt>
                      <c:pt idx="5">
                        <c:v>5530.2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4B3E-4289-9432-57C5FEBB8EE2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3"/>
          <c:order val="3"/>
          <c:tx>
            <c:strRef>
              <c:f>Hoja1!$E$1</c:f>
              <c:strCache>
                <c:ptCount val="1"/>
                <c:pt idx="0">
                  <c:v>% PIB (eje der.)</c:v>
                </c:pt>
              </c:strCache>
            </c:strRef>
          </c:tx>
          <c:spPr>
            <a:ln w="28575" cap="rnd">
              <a:solidFill>
                <a:schemeClr val="accent5">
                  <a:tint val="58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5">
                  <a:tint val="58000"/>
                </a:schemeClr>
              </a:solidFill>
              <a:ln w="9525">
                <a:solidFill>
                  <a:schemeClr val="accent5">
                    <a:tint val="58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Hoja1!$E$2:$E$7</c:f>
              <c:numCache>
                <c:formatCode>#,##0.0</c:formatCode>
                <c:ptCount val="6"/>
                <c:pt idx="0">
                  <c:v>15.445891628770539</c:v>
                </c:pt>
                <c:pt idx="1">
                  <c:v>13.692390010171076</c:v>
                </c:pt>
                <c:pt idx="2">
                  <c:v>13.066793012886688</c:v>
                </c:pt>
                <c:pt idx="3">
                  <c:v>12.891867702096359</c:v>
                </c:pt>
                <c:pt idx="4">
                  <c:v>14.632829068287853</c:v>
                </c:pt>
                <c:pt idx="5">
                  <c:v>15.108969157507357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3E-4289-9432-57C5FEBB8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2561295"/>
        <c:axId val="211681887"/>
      </c:lineChart>
      <c:catAx>
        <c:axId val="2945338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6230159"/>
        <c:crosses val="autoZero"/>
        <c:auto val="1"/>
        <c:lblAlgn val="ctr"/>
        <c:lblOffset val="100"/>
        <c:noMultiLvlLbl val="0"/>
      </c:catAx>
      <c:valAx>
        <c:axId val="216230159"/>
        <c:scaling>
          <c:orientation val="minMax"/>
          <c:max val="6000"/>
          <c:min val="60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94533855"/>
        <c:crosses val="autoZero"/>
        <c:crossBetween val="between"/>
      </c:valAx>
      <c:valAx>
        <c:axId val="211681887"/>
        <c:scaling>
          <c:orientation val="minMax"/>
          <c:max val="16"/>
          <c:min val="2"/>
        </c:scaling>
        <c:delete val="0"/>
        <c:axPos val="r"/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012561295"/>
        <c:crosses val="max"/>
        <c:crossBetween val="between"/>
      </c:valAx>
      <c:catAx>
        <c:axId val="201256129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16818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Remun.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1434.2</c:v>
                </c:pt>
                <c:pt idx="1">
                  <c:v>1597</c:v>
                </c:pt>
                <c:pt idx="2">
                  <c:v>1603.2</c:v>
                </c:pt>
                <c:pt idx="3">
                  <c:v>1739.1</c:v>
                </c:pt>
                <c:pt idx="4">
                  <c:v>2025.6</c:v>
                </c:pt>
                <c:pt idx="5">
                  <c:v>1848.2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E8-46F4-B1AC-DAEAF090050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B y 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607.4</c:v>
                </c:pt>
                <c:pt idx="1">
                  <c:v>606.6</c:v>
                </c:pt>
                <c:pt idx="2">
                  <c:v>706.7</c:v>
                </c:pt>
                <c:pt idx="3">
                  <c:v>762.7</c:v>
                </c:pt>
                <c:pt idx="4">
                  <c:v>872</c:v>
                </c:pt>
                <c:pt idx="5">
                  <c:v>1029.9000000000001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E8-46F4-B1AC-DAEAF090050B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Transf. Ctes.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  <c:numCache>
                <c:formatCode>#,##0.0</c:formatCode>
                <c:ptCount val="6"/>
                <c:pt idx="0">
                  <c:v>898.6</c:v>
                </c:pt>
                <c:pt idx="1">
                  <c:v>700</c:v>
                </c:pt>
                <c:pt idx="2">
                  <c:v>686.5</c:v>
                </c:pt>
                <c:pt idx="3">
                  <c:v>642.5</c:v>
                </c:pt>
                <c:pt idx="4">
                  <c:v>888.8</c:v>
                </c:pt>
                <c:pt idx="5">
                  <c:v>927.6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E8-46F4-B1AC-DAEAF090050B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Intereses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Hoja1!$E$2:$E$7</c:f>
              <c:numCache>
                <c:formatCode>#,##0.0</c:formatCode>
                <c:ptCount val="6"/>
                <c:pt idx="0">
                  <c:v>544.70000000000005</c:v>
                </c:pt>
                <c:pt idx="1">
                  <c:v>667.1</c:v>
                </c:pt>
                <c:pt idx="2">
                  <c:v>759.6</c:v>
                </c:pt>
                <c:pt idx="3">
                  <c:v>695.4</c:v>
                </c:pt>
                <c:pt idx="4">
                  <c:v>797.1</c:v>
                </c:pt>
                <c:pt idx="5">
                  <c:v>886.8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E8-46F4-B1AC-DAEAF0900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94539055"/>
        <c:axId val="216193791"/>
      </c:barChart>
      <c:lineChart>
        <c:grouping val="standard"/>
        <c:varyColors val="0"/>
        <c:ser>
          <c:idx val="4"/>
          <c:order val="4"/>
          <c:tx>
            <c:strRef>
              <c:f>Hoja1!$F$1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Hoja1!$F$2:$F$7</c:f>
              <c:numCache>
                <c:formatCode>#,##0.0</c:formatCode>
                <c:ptCount val="6"/>
                <c:pt idx="0">
                  <c:v>3484.8999999999996</c:v>
                </c:pt>
                <c:pt idx="1">
                  <c:v>3570.7</c:v>
                </c:pt>
                <c:pt idx="2">
                  <c:v>3756</c:v>
                </c:pt>
                <c:pt idx="3">
                  <c:v>3839.7000000000003</c:v>
                </c:pt>
                <c:pt idx="4">
                  <c:v>4583.5</c:v>
                </c:pt>
                <c:pt idx="5">
                  <c:v>4692.5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DE8-46F4-B1AC-DAEAF0900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539055"/>
        <c:axId val="216193791"/>
      </c:lineChart>
      <c:catAx>
        <c:axId val="294539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6193791"/>
        <c:crosses val="autoZero"/>
        <c:auto val="1"/>
        <c:lblAlgn val="ctr"/>
        <c:lblOffset val="100"/>
        <c:noMultiLvlLbl val="0"/>
      </c:catAx>
      <c:valAx>
        <c:axId val="216193791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9453905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Inversión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341.4277250997385</c:v>
                </c:pt>
                <c:pt idx="1">
                  <c:v>364</c:v>
                </c:pt>
                <c:pt idx="2">
                  <c:v>282.3</c:v>
                </c:pt>
                <c:pt idx="3">
                  <c:v>489.1</c:v>
                </c:pt>
                <c:pt idx="4">
                  <c:v>559.4</c:v>
                </c:pt>
                <c:pt idx="5">
                  <c:v>796.3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A-4447-B359-A6D3930AEFAD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</c:numRef>
          </c:val>
          <c:extLst>
            <c:ext xmlns:c16="http://schemas.microsoft.com/office/drawing/2014/chart" uri="{C3380CC4-5D6E-409C-BE32-E72D297353CC}">
              <c16:uniqueId val="{00000001-47CA-4447-B359-A6D3930AE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53214815"/>
        <c:axId val="216197535"/>
      </c:barChart>
      <c:lineChart>
        <c:grouping val="standard"/>
        <c:varyColors val="0"/>
        <c:ser>
          <c:idx val="1"/>
          <c:order val="1"/>
          <c:tx>
            <c:strRef>
              <c:f>Hoja1!$C$1</c:f>
              <c:strCache>
                <c:ptCount val="1"/>
                <c:pt idx="0">
                  <c:v>% del PIB (eje der.)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1.3700297822846281</c:v>
                </c:pt>
                <c:pt idx="1">
                  <c:v>1.253308010084309</c:v>
                </c:pt>
                <c:pt idx="2">
                  <c:v>0.88578322628419748</c:v>
                </c:pt>
                <c:pt idx="3">
                  <c:v>1.4447358269081827</c:v>
                </c:pt>
                <c:pt idx="4">
                  <c:v>1.5817916943777117</c:v>
                </c:pt>
                <c:pt idx="5">
                  <c:v>2.17555644985688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CA-4447-B359-A6D3930AE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526991"/>
        <c:axId val="2016734207"/>
      </c:lineChart>
      <c:catAx>
        <c:axId val="2532148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6197535"/>
        <c:crosses val="autoZero"/>
        <c:auto val="1"/>
        <c:lblAlgn val="ctr"/>
        <c:lblOffset val="100"/>
        <c:noMultiLvlLbl val="0"/>
      </c:catAx>
      <c:valAx>
        <c:axId val="216197535"/>
        <c:scaling>
          <c:orientation val="minMax"/>
          <c:min val="20"/>
        </c:scaling>
        <c:delete val="0"/>
        <c:axPos val="l"/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53214815"/>
        <c:crosses val="autoZero"/>
        <c:crossBetween val="between"/>
      </c:valAx>
      <c:valAx>
        <c:axId val="2016734207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60526991"/>
        <c:crosses val="max"/>
        <c:crossBetween val="between"/>
      </c:valAx>
      <c:catAx>
        <c:axId val="2605269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673420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G17_Deuda!$B$41</c:f>
              <c:strCache>
                <c:ptCount val="1"/>
                <c:pt idx="0">
                  <c:v>Deuda sin pensiones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G17_Deuda!$C$40:$H$40</c:f>
              <c:strCach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 a junio</c:v>
                </c:pt>
              </c:strCache>
            </c:strRef>
          </c:cat>
          <c:val>
            <c:numRef>
              <c:f>G17_Deuda!$C$41:$H$41</c:f>
              <c:numCache>
                <c:formatCode>0.0%</c:formatCode>
                <c:ptCount val="6"/>
                <c:pt idx="0">
                  <c:v>0.64600000000000002</c:v>
                </c:pt>
                <c:pt idx="1">
                  <c:v>0.60099999999999998</c:v>
                </c:pt>
                <c:pt idx="2">
                  <c:v>0.56399999999999995</c:v>
                </c:pt>
                <c:pt idx="3">
                  <c:v>0.55500000000000005</c:v>
                </c:pt>
                <c:pt idx="4">
                  <c:v>0.57699999999999996</c:v>
                </c:pt>
                <c:pt idx="5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6F-42C2-AA1A-E7D0DAA45C14}"/>
            </c:ext>
          </c:extLst>
        </c:ser>
        <c:ser>
          <c:idx val="1"/>
          <c:order val="1"/>
          <c:tx>
            <c:strRef>
              <c:f>G17_Deuda!$B$42</c:f>
              <c:strCache>
                <c:ptCount val="1"/>
                <c:pt idx="0">
                  <c:v>Pensiones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G17_Deuda!$C$40:$H$40</c:f>
              <c:strCach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 a junio</c:v>
                </c:pt>
              </c:strCache>
            </c:strRef>
          </c:cat>
          <c:val>
            <c:numRef>
              <c:f>G17_Deuda!$C$42:$H$42</c:f>
              <c:numCache>
                <c:formatCode>0.0%</c:formatCode>
                <c:ptCount val="6"/>
                <c:pt idx="0">
                  <c:v>0.22600000000000001</c:v>
                </c:pt>
                <c:pt idx="1">
                  <c:v>0.2</c:v>
                </c:pt>
                <c:pt idx="2">
                  <c:v>0.19600000000000001</c:v>
                </c:pt>
                <c:pt idx="3">
                  <c:v>0.28299999999999997</c:v>
                </c:pt>
                <c:pt idx="4">
                  <c:v>0.29699999999999999</c:v>
                </c:pt>
                <c:pt idx="5">
                  <c:v>0.29699999999999999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6F-42C2-AA1A-E7D0DAA45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1"/>
        <c:overlap val="100"/>
        <c:axId val="535976320"/>
        <c:axId val="1014145680"/>
      </c:barChart>
      <c:lineChart>
        <c:grouping val="stacked"/>
        <c:varyColors val="0"/>
        <c:ser>
          <c:idx val="2"/>
          <c:order val="2"/>
          <c:tx>
            <c:strRef>
              <c:f>G17_Deuda!$B$43</c:f>
              <c:strCache>
                <c:ptCount val="1"/>
                <c:pt idx="0">
                  <c:v>Deuda con pensiones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chemeClr val="accent3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701443569553802E-2"/>
                  <c:y val="-4.6296296296296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6F-42C2-AA1A-E7D0DAA45C14}"/>
                </c:ext>
              </c:extLst>
            </c:dLbl>
            <c:dLbl>
              <c:idx val="1"/>
              <c:layout>
                <c:manualLayout>
                  <c:x val="-5.4701443569553802E-2"/>
                  <c:y val="-3.24074074074074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6F-42C2-AA1A-E7D0DAA45C14}"/>
                </c:ext>
              </c:extLst>
            </c:dLbl>
            <c:dLbl>
              <c:idx val="2"/>
              <c:layout>
                <c:manualLayout>
                  <c:x val="-5.4701443569553802E-2"/>
                  <c:y val="-4.166666666666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6F-42C2-AA1A-E7D0DAA45C14}"/>
                </c:ext>
              </c:extLst>
            </c:dLbl>
            <c:dLbl>
              <c:idx val="3"/>
              <c:layout>
                <c:manualLayout>
                  <c:x val="-5.4701443569553802E-2"/>
                  <c:y val="-2.7777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6F-42C2-AA1A-E7D0DAA45C14}"/>
                </c:ext>
              </c:extLst>
            </c:dLbl>
            <c:dLbl>
              <c:idx val="4"/>
              <c:layout>
                <c:manualLayout>
                  <c:x val="-5.4701443569553906E-2"/>
                  <c:y val="-2.7777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6F-42C2-AA1A-E7D0DAA45C14}"/>
                </c:ext>
              </c:extLst>
            </c:dLbl>
            <c:dLbl>
              <c:idx val="5"/>
              <c:layout>
                <c:manualLayout>
                  <c:x val="-5.4701443569553802E-2"/>
                  <c:y val="-2.7777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6F-42C2-AA1A-E7D0DAA45C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G17_Deuda!$C$40:$H$40</c:f>
              <c:strCach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 a junio</c:v>
                </c:pt>
              </c:strCache>
            </c:strRef>
          </c:cat>
          <c:val>
            <c:numRef>
              <c:f>G17_Deuda!$C$43:$H$43</c:f>
              <c:numCache>
                <c:formatCode>0.0%</c:formatCode>
                <c:ptCount val="6"/>
                <c:pt idx="0">
                  <c:v>0.86899999999999999</c:v>
                </c:pt>
                <c:pt idx="1">
                  <c:v>0.80100000000000005</c:v>
                </c:pt>
                <c:pt idx="2">
                  <c:v>0.76</c:v>
                </c:pt>
                <c:pt idx="3">
                  <c:v>0.83799999999999997</c:v>
                </c:pt>
                <c:pt idx="4">
                  <c:v>0.874</c:v>
                </c:pt>
                <c:pt idx="5">
                  <c:v>0.86699999999999999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96F-42C2-AA1A-E7D0DAA45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5976320"/>
        <c:axId val="1014145680"/>
      </c:lineChart>
      <c:catAx>
        <c:axId val="53597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14145680"/>
        <c:crosses val="autoZero"/>
        <c:auto val="1"/>
        <c:lblAlgn val="ctr"/>
        <c:lblOffset val="100"/>
        <c:noMultiLvlLbl val="0"/>
      </c:catAx>
      <c:valAx>
        <c:axId val="1014145680"/>
        <c:scaling>
          <c:orientation val="minMax"/>
          <c:min val="0.1"/>
        </c:scaling>
        <c:delete val="0"/>
        <c:axPos val="l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3597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Balance primario  c/pensiones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888888888888911E-2"/>
                  <c:y val="7.85092488438946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C0-479C-8850-BBDD548BBE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-149.80000000000001</c:v>
                </c:pt>
                <c:pt idx="1">
                  <c:v>545.6</c:v>
                </c:pt>
                <c:pt idx="2">
                  <c:v>775.4</c:v>
                </c:pt>
                <c:pt idx="3">
                  <c:v>453.5</c:v>
                </c:pt>
                <c:pt idx="4">
                  <c:v>378.7</c:v>
                </c:pt>
                <c:pt idx="5">
                  <c:v>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C0-479C-8850-BBDD548BBE06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</c:numRef>
          </c:val>
          <c:extLst>
            <c:ext xmlns:c16="http://schemas.microsoft.com/office/drawing/2014/chart" uri="{C3380CC4-5D6E-409C-BE32-E72D297353CC}">
              <c16:uniqueId val="{00000002-2FC0-479C-8850-BBDD548BB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94567055"/>
        <c:axId val="2136635999"/>
      </c:barChart>
      <c:lineChart>
        <c:grouping val="standard"/>
        <c:varyColors val="0"/>
        <c:ser>
          <c:idx val="1"/>
          <c:order val="1"/>
          <c:tx>
            <c:strRef>
              <c:f>Hoja1!$C$1</c:f>
              <c:strCache>
                <c:ptCount val="1"/>
                <c:pt idx="0">
                  <c:v>Balance primario  c/pensiones % PIB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9450277048702244E-2"/>
                  <c:y val="2.3402699662542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C0-479C-8850-BBDD548BBE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-0.60109489153607842</c:v>
                </c:pt>
                <c:pt idx="1">
                  <c:v>1.8785847535769205</c:v>
                </c:pt>
                <c:pt idx="2">
                  <c:v>2.4330014653232968</c:v>
                </c:pt>
                <c:pt idx="3">
                  <c:v>1.3395781997605005</c:v>
                </c:pt>
                <c:pt idx="4">
                  <c:v>1.0708339554180184</c:v>
                </c:pt>
                <c:pt idx="5">
                  <c:v>1.2212404032224355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FC0-479C-8850-BBDD548BB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759887"/>
        <c:axId val="1948187407"/>
      </c:lineChart>
      <c:catAx>
        <c:axId val="2945670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36635999"/>
        <c:crosses val="autoZero"/>
        <c:auto val="1"/>
        <c:lblAlgn val="ctr"/>
        <c:lblOffset val="100"/>
        <c:noMultiLvlLbl val="0"/>
      </c:catAx>
      <c:valAx>
        <c:axId val="2136635999"/>
        <c:scaling>
          <c:orientation val="minMax"/>
          <c:max val="8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Millones US$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94567055"/>
        <c:crosses val="autoZero"/>
        <c:crossBetween val="between"/>
      </c:valAx>
      <c:valAx>
        <c:axId val="1948187407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Porcentaje del PIB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65759887"/>
        <c:crosses val="max"/>
        <c:crossBetween val="between"/>
        <c:majorUnit val="0.4"/>
      </c:valAx>
      <c:catAx>
        <c:axId val="26575988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4818740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Déficit c/pensiones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Hoja1!$B$2:$B$7</c:f>
              <c:numCache>
                <c:formatCode>#,##0.0</c:formatCode>
                <c:ptCount val="6"/>
                <c:pt idx="0">
                  <c:v>-589.70000000000005</c:v>
                </c:pt>
                <c:pt idx="1">
                  <c:v>-8.8000000000000007</c:v>
                </c:pt>
                <c:pt idx="2">
                  <c:v>148</c:v>
                </c:pt>
                <c:pt idx="3">
                  <c:v>-223</c:v>
                </c:pt>
                <c:pt idx="4">
                  <c:v>-418.4</c:v>
                </c:pt>
                <c:pt idx="5">
                  <c:v>-439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85-4EAB-8FA3-C57B7C7A4DC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Hoja1!$D$2:$D$7</c:f>
            </c:numRef>
          </c:val>
          <c:extLst>
            <c:ext xmlns:c16="http://schemas.microsoft.com/office/drawing/2014/chart" uri="{C3380CC4-5D6E-409C-BE32-E72D297353CC}">
              <c16:uniqueId val="{00000001-5185-4EAB-8FA3-C57B7C7A4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94567055"/>
        <c:axId val="2136635999"/>
      </c:barChart>
      <c:lineChart>
        <c:grouping val="standard"/>
        <c:varyColors val="0"/>
        <c:ser>
          <c:idx val="1"/>
          <c:order val="1"/>
          <c:tx>
            <c:strRef>
              <c:f>Hoja1!$C$1</c:f>
              <c:strCache>
                <c:ptCount val="1"/>
                <c:pt idx="0">
                  <c:v>Déficit c/pensiones % PIB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Hoja1!$C$2:$C$7</c:f>
              <c:numCache>
                <c:formatCode>#,##0.0</c:formatCode>
                <c:ptCount val="6"/>
                <c:pt idx="0">
                  <c:v>-2.3662593961203302</c:v>
                </c:pt>
                <c:pt idx="1">
                  <c:v>-3.029975408995033E-2</c:v>
                </c:pt>
                <c:pt idx="2">
                  <c:v>0.46438511331938087</c:v>
                </c:pt>
                <c:pt idx="3">
                  <c:v>-0.65871210263857027</c:v>
                </c:pt>
                <c:pt idx="4">
                  <c:v>-1.1830919644755713</c:v>
                </c:pt>
                <c:pt idx="5">
                  <c:v>-1.1993837517106245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85-4EAB-8FA3-C57B7C7A4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759887"/>
        <c:axId val="1948187407"/>
      </c:lineChart>
      <c:catAx>
        <c:axId val="2945670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136635999"/>
        <c:crosses val="autoZero"/>
        <c:auto val="1"/>
        <c:lblAlgn val="ctr"/>
        <c:lblOffset val="100"/>
        <c:noMultiLvlLbl val="0"/>
      </c:catAx>
      <c:valAx>
        <c:axId val="213663599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Millones US$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94567055"/>
        <c:crosses val="autoZero"/>
        <c:crossBetween val="between"/>
      </c:valAx>
      <c:valAx>
        <c:axId val="1948187407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900"/>
                  <a:t>Porcentaje del PIB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65759887"/>
        <c:crosses val="max"/>
        <c:crossBetween val="between"/>
      </c:valAx>
      <c:catAx>
        <c:axId val="26575988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4818740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3F4F6-0714-4F69-A60A-BB858DAE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3303</Words>
  <Characters>18172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Hacienda</Company>
  <LinksUpToDate>false</LinksUpToDate>
  <CharactersWithSpaces>21433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Fermin Garcia Canas</dc:creator>
  <cp:keywords/>
  <dc:description/>
  <cp:lastModifiedBy>Jacqueline Antonieta Argumedo Sandoval</cp:lastModifiedBy>
  <cp:revision>5</cp:revision>
  <cp:lastPrinted>2025-08-18T17:07:00Z</cp:lastPrinted>
  <dcterms:created xsi:type="dcterms:W3CDTF">2025-09-17T16:44:00Z</dcterms:created>
  <dcterms:modified xsi:type="dcterms:W3CDTF">2025-12-23T20:52:00Z</dcterms:modified>
</cp:coreProperties>
</file>