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1A91" w14:textId="77777777" w:rsidR="008274EB" w:rsidRPr="00CD1FD1" w:rsidRDefault="008274EB" w:rsidP="00BE54F5">
      <w:pPr>
        <w:jc w:val="center"/>
        <w:rPr>
          <w:rFonts w:ascii="Museo Sans 300" w:hAnsi="Museo Sans 300"/>
          <w:b/>
          <w:bCs/>
          <w:sz w:val="22"/>
          <w:szCs w:val="22"/>
          <w:lang w:val="es-SV"/>
        </w:rPr>
      </w:pPr>
    </w:p>
    <w:p w14:paraId="7E79F92D" w14:textId="77777777" w:rsidR="008274EB" w:rsidRPr="00CD1FD1" w:rsidRDefault="00AF4C2B" w:rsidP="00BE54F5">
      <w:pPr>
        <w:jc w:val="center"/>
        <w:rPr>
          <w:rFonts w:ascii="Museo Sans 300" w:hAnsi="Museo Sans 300"/>
          <w:b/>
          <w:bCs/>
          <w:sz w:val="22"/>
          <w:szCs w:val="22"/>
        </w:rPr>
      </w:pPr>
      <w:bookmarkStart w:id="0" w:name="_GoBack"/>
      <w:r w:rsidRPr="00CD1FD1">
        <w:rPr>
          <w:rFonts w:ascii="Museo Sans 300" w:hAnsi="Museo Sans 300"/>
          <w:noProof/>
          <w:sz w:val="22"/>
          <w:szCs w:val="22"/>
          <w:lang w:val="en-US" w:eastAsia="en-US"/>
        </w:rPr>
        <w:drawing>
          <wp:anchor distT="0" distB="0" distL="114300" distR="114300" simplePos="0" relativeHeight="251661312" behindDoc="1" locked="0" layoutInCell="1" allowOverlap="1" wp14:anchorId="08F78022" wp14:editId="19FB50B3">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8591EA6" w14:textId="77777777" w:rsidR="008274EB" w:rsidRPr="00CD1FD1" w:rsidRDefault="008274EB" w:rsidP="00BE54F5">
      <w:pPr>
        <w:jc w:val="center"/>
        <w:rPr>
          <w:rFonts w:ascii="Museo Sans 300" w:hAnsi="Museo Sans 300"/>
          <w:b/>
          <w:bCs/>
          <w:sz w:val="22"/>
          <w:szCs w:val="22"/>
        </w:rPr>
      </w:pPr>
    </w:p>
    <w:p w14:paraId="7DF97DF9" w14:textId="77777777" w:rsidR="008274EB" w:rsidRPr="00CD1FD1" w:rsidRDefault="008274EB" w:rsidP="00BE54F5">
      <w:pPr>
        <w:jc w:val="center"/>
        <w:rPr>
          <w:rFonts w:ascii="Museo Sans 300" w:hAnsi="Museo Sans 300"/>
          <w:b/>
          <w:bCs/>
          <w:sz w:val="22"/>
          <w:szCs w:val="22"/>
        </w:rPr>
      </w:pPr>
    </w:p>
    <w:p w14:paraId="6762B815" w14:textId="77777777" w:rsidR="008274EB" w:rsidRPr="00CD1FD1" w:rsidRDefault="008274EB" w:rsidP="00BE54F5">
      <w:pPr>
        <w:jc w:val="center"/>
        <w:rPr>
          <w:rFonts w:ascii="Museo Sans 300" w:hAnsi="Museo Sans 300"/>
          <w:b/>
          <w:bCs/>
          <w:sz w:val="22"/>
          <w:szCs w:val="22"/>
        </w:rPr>
      </w:pPr>
    </w:p>
    <w:p w14:paraId="513CFCEE" w14:textId="77777777" w:rsidR="008274EB" w:rsidRPr="00CD1FD1" w:rsidRDefault="008274EB" w:rsidP="00BE54F5">
      <w:pPr>
        <w:jc w:val="center"/>
        <w:rPr>
          <w:rFonts w:ascii="Museo Sans 300" w:hAnsi="Museo Sans 300"/>
          <w:b/>
          <w:bCs/>
          <w:sz w:val="22"/>
          <w:szCs w:val="22"/>
        </w:rPr>
      </w:pPr>
    </w:p>
    <w:p w14:paraId="2BC0279B" w14:textId="77777777" w:rsidR="008274EB" w:rsidRPr="00CD1FD1" w:rsidRDefault="008274EB" w:rsidP="00BE54F5">
      <w:pPr>
        <w:jc w:val="center"/>
        <w:rPr>
          <w:rFonts w:ascii="Museo Sans 300" w:hAnsi="Museo Sans 300"/>
          <w:b/>
          <w:bCs/>
          <w:sz w:val="22"/>
          <w:szCs w:val="22"/>
        </w:rPr>
      </w:pPr>
    </w:p>
    <w:p w14:paraId="05BC236E" w14:textId="77777777" w:rsidR="008274EB" w:rsidRPr="00CD1FD1" w:rsidRDefault="008274EB" w:rsidP="00BE54F5">
      <w:pPr>
        <w:jc w:val="center"/>
        <w:rPr>
          <w:rFonts w:ascii="Museo Sans 300" w:hAnsi="Museo Sans 300"/>
          <w:b/>
          <w:bCs/>
          <w:sz w:val="22"/>
          <w:szCs w:val="22"/>
        </w:rPr>
      </w:pPr>
    </w:p>
    <w:p w14:paraId="1DA7D654" w14:textId="77777777" w:rsidR="008274EB" w:rsidRPr="00CD1FD1" w:rsidRDefault="008274EB" w:rsidP="00BE54F5">
      <w:pPr>
        <w:jc w:val="center"/>
        <w:rPr>
          <w:rFonts w:ascii="Museo Sans 300" w:hAnsi="Museo Sans 300"/>
          <w:b/>
          <w:bCs/>
          <w:sz w:val="22"/>
          <w:szCs w:val="22"/>
        </w:rPr>
      </w:pPr>
    </w:p>
    <w:p w14:paraId="4AD6242A" w14:textId="77777777" w:rsidR="008274EB" w:rsidRPr="00CD1FD1" w:rsidRDefault="008274EB" w:rsidP="00BE54F5">
      <w:pPr>
        <w:jc w:val="center"/>
        <w:rPr>
          <w:rFonts w:ascii="Museo Sans 300" w:hAnsi="Museo Sans 300"/>
          <w:b/>
          <w:bCs/>
          <w:sz w:val="22"/>
          <w:szCs w:val="22"/>
        </w:rPr>
      </w:pPr>
    </w:p>
    <w:p w14:paraId="14363C52" w14:textId="77777777" w:rsidR="00BE54F5" w:rsidRPr="00CD1FD1" w:rsidRDefault="00BE54F5" w:rsidP="00BE54F5">
      <w:pPr>
        <w:jc w:val="center"/>
        <w:rPr>
          <w:rFonts w:ascii="Museo Sans 300" w:hAnsi="Museo Sans 300"/>
          <w:b/>
          <w:bCs/>
          <w:sz w:val="22"/>
          <w:szCs w:val="22"/>
        </w:rPr>
      </w:pPr>
    </w:p>
    <w:p w14:paraId="7FB4E030" w14:textId="77777777" w:rsidR="00BE54F5" w:rsidRPr="00CD1FD1" w:rsidRDefault="00BE54F5" w:rsidP="00BE54F5">
      <w:pPr>
        <w:jc w:val="center"/>
        <w:rPr>
          <w:rFonts w:ascii="Museo Sans 300" w:hAnsi="Museo Sans 300"/>
          <w:b/>
          <w:bCs/>
          <w:sz w:val="22"/>
          <w:szCs w:val="22"/>
        </w:rPr>
      </w:pPr>
    </w:p>
    <w:p w14:paraId="59099FCD" w14:textId="77777777" w:rsidR="00BE54F5" w:rsidRPr="00CD1FD1" w:rsidRDefault="00BE54F5" w:rsidP="00BE54F5">
      <w:pPr>
        <w:jc w:val="center"/>
        <w:rPr>
          <w:rFonts w:ascii="Museo Sans 300" w:hAnsi="Museo Sans 300"/>
          <w:b/>
          <w:bCs/>
          <w:sz w:val="22"/>
          <w:szCs w:val="22"/>
        </w:rPr>
      </w:pPr>
    </w:p>
    <w:p w14:paraId="614459CE" w14:textId="77777777" w:rsidR="00BE54F5" w:rsidRPr="00CD1FD1" w:rsidRDefault="00BE54F5" w:rsidP="00BE54F5">
      <w:pPr>
        <w:jc w:val="center"/>
        <w:rPr>
          <w:rFonts w:ascii="Museo Sans 300" w:hAnsi="Museo Sans 300"/>
          <w:b/>
          <w:bCs/>
          <w:sz w:val="22"/>
          <w:szCs w:val="22"/>
        </w:rPr>
      </w:pPr>
    </w:p>
    <w:p w14:paraId="163627FA" w14:textId="77777777" w:rsidR="008274EB" w:rsidRPr="00CD1FD1" w:rsidRDefault="008274EB" w:rsidP="00BE54F5">
      <w:pPr>
        <w:jc w:val="center"/>
        <w:rPr>
          <w:rFonts w:ascii="Museo Sans 300" w:hAnsi="Museo Sans 300"/>
          <w:b/>
          <w:bCs/>
          <w:sz w:val="22"/>
          <w:szCs w:val="22"/>
        </w:rPr>
      </w:pPr>
    </w:p>
    <w:p w14:paraId="36A86A21" w14:textId="77777777" w:rsidR="008274EB" w:rsidRPr="00CD1FD1" w:rsidRDefault="008274EB" w:rsidP="00BE54F5">
      <w:pPr>
        <w:jc w:val="center"/>
        <w:rPr>
          <w:rFonts w:ascii="Museo Sans 300" w:hAnsi="Museo Sans 300"/>
          <w:b/>
          <w:bCs/>
          <w:sz w:val="22"/>
          <w:szCs w:val="22"/>
        </w:rPr>
      </w:pPr>
    </w:p>
    <w:p w14:paraId="75FC3253" w14:textId="77777777" w:rsidR="008274EB" w:rsidRPr="00CD1FD1" w:rsidRDefault="008274EB" w:rsidP="00BE54F5">
      <w:pPr>
        <w:jc w:val="center"/>
        <w:rPr>
          <w:rFonts w:ascii="Museo Sans 300" w:hAnsi="Museo Sans 300"/>
          <w:b/>
          <w:bCs/>
          <w:sz w:val="22"/>
          <w:szCs w:val="22"/>
        </w:rPr>
      </w:pPr>
    </w:p>
    <w:p w14:paraId="67239F26" w14:textId="77777777" w:rsidR="008274EB" w:rsidRPr="00CD1FD1" w:rsidRDefault="008274EB" w:rsidP="00BE54F5">
      <w:pPr>
        <w:jc w:val="center"/>
        <w:rPr>
          <w:rFonts w:ascii="Museo Sans 300" w:hAnsi="Museo Sans 300"/>
          <w:b/>
          <w:bCs/>
          <w:sz w:val="22"/>
          <w:szCs w:val="22"/>
        </w:rPr>
      </w:pPr>
    </w:p>
    <w:p w14:paraId="5C9D5E87" w14:textId="77777777" w:rsidR="00BE54F5" w:rsidRPr="00CD1FD1" w:rsidRDefault="00BE54F5" w:rsidP="00BE54F5">
      <w:pPr>
        <w:jc w:val="center"/>
        <w:rPr>
          <w:rFonts w:ascii="Museo Sans 300" w:hAnsi="Museo Sans 300"/>
          <w:b/>
          <w:bCs/>
          <w:sz w:val="22"/>
          <w:szCs w:val="22"/>
        </w:rPr>
      </w:pPr>
    </w:p>
    <w:p w14:paraId="1C404633" w14:textId="77777777" w:rsidR="00BE54F5" w:rsidRPr="00CD1FD1" w:rsidRDefault="00BE54F5" w:rsidP="00BE54F5">
      <w:pPr>
        <w:jc w:val="center"/>
        <w:rPr>
          <w:rFonts w:ascii="Museo Sans 300" w:hAnsi="Museo Sans 300"/>
          <w:b/>
          <w:bCs/>
          <w:sz w:val="22"/>
          <w:szCs w:val="22"/>
        </w:rPr>
      </w:pPr>
    </w:p>
    <w:p w14:paraId="68D1CE3E" w14:textId="77777777" w:rsidR="00BE54F5" w:rsidRPr="00CD1FD1" w:rsidRDefault="00BE54F5" w:rsidP="00BE54F5">
      <w:pPr>
        <w:jc w:val="center"/>
        <w:rPr>
          <w:rFonts w:ascii="Museo Sans 300" w:hAnsi="Museo Sans 300"/>
          <w:b/>
          <w:bCs/>
          <w:sz w:val="22"/>
          <w:szCs w:val="22"/>
        </w:rPr>
      </w:pPr>
    </w:p>
    <w:p w14:paraId="53E217CF" w14:textId="77777777" w:rsidR="00BE54F5" w:rsidRPr="00CD1FD1" w:rsidRDefault="00593A7A" w:rsidP="00593A7A">
      <w:pPr>
        <w:tabs>
          <w:tab w:val="left" w:pos="0"/>
          <w:tab w:val="left" w:pos="9214"/>
        </w:tabs>
        <w:autoSpaceDE w:val="0"/>
        <w:autoSpaceDN w:val="0"/>
        <w:adjustRightInd w:val="0"/>
        <w:ind w:left="3240" w:hanging="4658"/>
        <w:jc w:val="center"/>
        <w:rPr>
          <w:rFonts w:ascii="Museo Sans 300" w:hAnsi="Museo Sans 300"/>
          <w:b/>
          <w:sz w:val="22"/>
          <w:szCs w:val="22"/>
        </w:rPr>
      </w:pPr>
      <w:r>
        <w:rPr>
          <w:rFonts w:ascii="Museo Sans 300" w:hAnsi="Museo Sans 300"/>
          <w:b/>
          <w:sz w:val="22"/>
          <w:szCs w:val="22"/>
        </w:rPr>
        <w:t xml:space="preserve">           </w:t>
      </w:r>
      <w:r w:rsidR="00BE54F5" w:rsidRPr="00CD1FD1">
        <w:rPr>
          <w:rFonts w:ascii="Museo Sans 300" w:hAnsi="Museo Sans 300"/>
          <w:b/>
          <w:sz w:val="22"/>
          <w:szCs w:val="22"/>
        </w:rPr>
        <w:t xml:space="preserve">INFORME </w:t>
      </w:r>
      <w:r w:rsidR="005768FD" w:rsidRPr="00CD1FD1">
        <w:rPr>
          <w:rFonts w:ascii="Museo Sans 300" w:hAnsi="Museo Sans 300"/>
          <w:b/>
          <w:sz w:val="22"/>
          <w:szCs w:val="22"/>
        </w:rPr>
        <w:t xml:space="preserve">PRELIMINAR </w:t>
      </w:r>
      <w:r w:rsidR="00BE54F5" w:rsidRPr="00CD1FD1">
        <w:rPr>
          <w:rFonts w:ascii="Museo Sans 300" w:hAnsi="Museo Sans 300"/>
          <w:b/>
          <w:sz w:val="22"/>
          <w:szCs w:val="22"/>
        </w:rPr>
        <w:t xml:space="preserve">DE GESTION DE LAS FINANZAS </w:t>
      </w:r>
      <w:r w:rsidR="00BF251D" w:rsidRPr="00CD1FD1">
        <w:rPr>
          <w:rFonts w:ascii="Museo Sans 300" w:hAnsi="Museo Sans 300"/>
          <w:b/>
          <w:sz w:val="22"/>
          <w:szCs w:val="22"/>
        </w:rPr>
        <w:t>PÚBLICAS</w:t>
      </w:r>
    </w:p>
    <w:p w14:paraId="23B840A2" w14:textId="77777777" w:rsidR="00BE54F5" w:rsidRPr="00CD1FD1" w:rsidRDefault="00BE54F5" w:rsidP="00BE54F5">
      <w:pPr>
        <w:jc w:val="center"/>
        <w:rPr>
          <w:rFonts w:ascii="Museo Sans 300" w:hAnsi="Museo Sans 300"/>
          <w:b/>
          <w:bCs/>
          <w:sz w:val="22"/>
          <w:szCs w:val="22"/>
        </w:rPr>
      </w:pPr>
    </w:p>
    <w:p w14:paraId="6E9457EC" w14:textId="77777777" w:rsidR="001B5B81" w:rsidRPr="00CD1FD1" w:rsidRDefault="001B5B81" w:rsidP="00BE54F5">
      <w:pPr>
        <w:jc w:val="center"/>
        <w:rPr>
          <w:rFonts w:ascii="Museo Sans 300" w:hAnsi="Museo Sans 300"/>
          <w:b/>
          <w:bCs/>
          <w:sz w:val="22"/>
          <w:szCs w:val="22"/>
        </w:rPr>
      </w:pPr>
    </w:p>
    <w:p w14:paraId="4BFDE71A" w14:textId="77777777" w:rsidR="001B5B81" w:rsidRPr="00CD1FD1" w:rsidRDefault="001B5B81" w:rsidP="00BE54F5">
      <w:pPr>
        <w:jc w:val="center"/>
        <w:rPr>
          <w:rFonts w:ascii="Museo Sans 300" w:hAnsi="Museo Sans 300"/>
          <w:b/>
          <w:bCs/>
          <w:sz w:val="22"/>
          <w:szCs w:val="22"/>
        </w:rPr>
      </w:pPr>
    </w:p>
    <w:p w14:paraId="6697BFB6" w14:textId="77777777" w:rsidR="001B5B81" w:rsidRPr="00CD1FD1" w:rsidRDefault="001B5B81" w:rsidP="00BE54F5">
      <w:pPr>
        <w:jc w:val="center"/>
        <w:rPr>
          <w:rFonts w:ascii="Museo Sans 300" w:hAnsi="Museo Sans 300"/>
          <w:b/>
          <w:bCs/>
          <w:sz w:val="22"/>
          <w:szCs w:val="22"/>
        </w:rPr>
      </w:pPr>
    </w:p>
    <w:p w14:paraId="66A29F34" w14:textId="77777777" w:rsidR="00BE54F5" w:rsidRPr="00CD1FD1" w:rsidRDefault="001E1C63" w:rsidP="00BE54F5">
      <w:pPr>
        <w:jc w:val="center"/>
        <w:rPr>
          <w:rFonts w:ascii="Museo Sans 300" w:hAnsi="Museo Sans 300"/>
          <w:b/>
          <w:bCs/>
          <w:sz w:val="22"/>
          <w:szCs w:val="22"/>
        </w:rPr>
      </w:pPr>
      <w:r w:rsidRPr="00CD1FD1">
        <w:rPr>
          <w:rFonts w:ascii="Museo Sans 300" w:hAnsi="Museo Sans 300"/>
          <w:b/>
          <w:bCs/>
          <w:sz w:val="22"/>
          <w:szCs w:val="22"/>
        </w:rPr>
        <w:t xml:space="preserve"> </w:t>
      </w:r>
      <w:r w:rsidR="005767D6" w:rsidRPr="00CD1FD1">
        <w:rPr>
          <w:rFonts w:ascii="Museo Sans 300" w:hAnsi="Museo Sans 300"/>
          <w:b/>
          <w:bCs/>
          <w:sz w:val="22"/>
          <w:szCs w:val="22"/>
        </w:rPr>
        <w:t>A</w:t>
      </w:r>
      <w:r w:rsidR="00065616" w:rsidRPr="00CD1FD1">
        <w:rPr>
          <w:rFonts w:ascii="Museo Sans 300" w:hAnsi="Museo Sans 300"/>
          <w:b/>
          <w:bCs/>
          <w:sz w:val="22"/>
          <w:szCs w:val="22"/>
        </w:rPr>
        <w:t>l mes de</w:t>
      </w:r>
      <w:r w:rsidRPr="00CD1FD1">
        <w:rPr>
          <w:rFonts w:ascii="Museo Sans 300" w:hAnsi="Museo Sans 300"/>
          <w:b/>
          <w:bCs/>
          <w:sz w:val="22"/>
          <w:szCs w:val="22"/>
        </w:rPr>
        <w:t xml:space="preserve"> </w:t>
      </w:r>
      <w:r w:rsidR="00C722FC">
        <w:rPr>
          <w:rFonts w:ascii="Museo Sans 300" w:hAnsi="Museo Sans 300"/>
          <w:b/>
          <w:bCs/>
          <w:sz w:val="22"/>
          <w:szCs w:val="22"/>
        </w:rPr>
        <w:t>junio</w:t>
      </w:r>
      <w:r w:rsidRPr="00CD1FD1">
        <w:rPr>
          <w:rFonts w:ascii="Museo Sans 300" w:hAnsi="Museo Sans 300"/>
          <w:b/>
          <w:bCs/>
          <w:sz w:val="22"/>
          <w:szCs w:val="22"/>
        </w:rPr>
        <w:t xml:space="preserve"> de </w:t>
      </w:r>
      <w:r w:rsidR="00042C94" w:rsidRPr="00CD1FD1">
        <w:rPr>
          <w:rFonts w:ascii="Museo Sans 300" w:hAnsi="Museo Sans 300"/>
          <w:b/>
          <w:bCs/>
          <w:sz w:val="22"/>
          <w:szCs w:val="22"/>
        </w:rPr>
        <w:t>202</w:t>
      </w:r>
      <w:r w:rsidR="0064579A" w:rsidRPr="00CD1FD1">
        <w:rPr>
          <w:rFonts w:ascii="Museo Sans 300" w:hAnsi="Museo Sans 300"/>
          <w:b/>
          <w:bCs/>
          <w:sz w:val="22"/>
          <w:szCs w:val="22"/>
        </w:rPr>
        <w:t>2</w:t>
      </w:r>
    </w:p>
    <w:p w14:paraId="07C271EC" w14:textId="77777777" w:rsidR="00BE54F5" w:rsidRPr="00CD1FD1" w:rsidRDefault="00BE54F5" w:rsidP="00BE54F5">
      <w:pPr>
        <w:jc w:val="center"/>
        <w:rPr>
          <w:rFonts w:ascii="Museo Sans 300" w:hAnsi="Museo Sans 300"/>
          <w:b/>
          <w:bCs/>
          <w:sz w:val="22"/>
          <w:szCs w:val="22"/>
        </w:rPr>
      </w:pPr>
    </w:p>
    <w:p w14:paraId="49993104" w14:textId="77777777" w:rsidR="00BE54F5" w:rsidRPr="00CD1FD1" w:rsidRDefault="00BE54F5" w:rsidP="00BE54F5">
      <w:pPr>
        <w:jc w:val="center"/>
        <w:rPr>
          <w:rFonts w:ascii="Museo Sans 300" w:hAnsi="Museo Sans 300"/>
          <w:b/>
          <w:bCs/>
          <w:sz w:val="22"/>
          <w:szCs w:val="22"/>
        </w:rPr>
      </w:pPr>
    </w:p>
    <w:p w14:paraId="14FA4ED5" w14:textId="77777777" w:rsidR="00BE54F5" w:rsidRPr="00CD1FD1" w:rsidRDefault="00BE54F5" w:rsidP="00BE54F5">
      <w:pPr>
        <w:jc w:val="center"/>
        <w:rPr>
          <w:rFonts w:ascii="Museo Sans 300" w:hAnsi="Museo Sans 300"/>
          <w:b/>
          <w:bCs/>
          <w:sz w:val="22"/>
          <w:szCs w:val="22"/>
        </w:rPr>
      </w:pPr>
    </w:p>
    <w:p w14:paraId="61AEF5D4" w14:textId="77777777" w:rsidR="00BE54F5" w:rsidRPr="00CD1FD1" w:rsidRDefault="00BE54F5" w:rsidP="00BE54F5">
      <w:pPr>
        <w:jc w:val="center"/>
        <w:rPr>
          <w:rFonts w:ascii="Museo Sans 300" w:hAnsi="Museo Sans 300"/>
          <w:b/>
          <w:bCs/>
          <w:sz w:val="22"/>
          <w:szCs w:val="22"/>
        </w:rPr>
      </w:pPr>
    </w:p>
    <w:p w14:paraId="1019A58D" w14:textId="77777777" w:rsidR="008274EB" w:rsidRPr="00CD1FD1" w:rsidRDefault="008274EB" w:rsidP="00BE54F5">
      <w:pPr>
        <w:jc w:val="center"/>
        <w:rPr>
          <w:rFonts w:ascii="Museo Sans 300" w:hAnsi="Museo Sans 300"/>
          <w:b/>
          <w:bCs/>
          <w:sz w:val="22"/>
          <w:szCs w:val="22"/>
        </w:rPr>
      </w:pPr>
    </w:p>
    <w:p w14:paraId="42F0DC67" w14:textId="77777777" w:rsidR="008274EB" w:rsidRPr="00CD1FD1" w:rsidRDefault="008274EB" w:rsidP="00BE54F5">
      <w:pPr>
        <w:jc w:val="center"/>
        <w:rPr>
          <w:rFonts w:ascii="Museo Sans 300" w:hAnsi="Museo Sans 300"/>
          <w:b/>
          <w:bCs/>
          <w:sz w:val="22"/>
          <w:szCs w:val="22"/>
        </w:rPr>
      </w:pPr>
    </w:p>
    <w:p w14:paraId="2D442E84" w14:textId="77777777" w:rsidR="008274EB" w:rsidRPr="00CD1FD1" w:rsidRDefault="008274EB" w:rsidP="00BE54F5">
      <w:pPr>
        <w:jc w:val="center"/>
        <w:rPr>
          <w:rFonts w:ascii="Museo Sans 300" w:hAnsi="Museo Sans 300"/>
          <w:b/>
          <w:bCs/>
          <w:sz w:val="22"/>
          <w:szCs w:val="22"/>
        </w:rPr>
      </w:pPr>
    </w:p>
    <w:p w14:paraId="2BB9424A" w14:textId="77777777" w:rsidR="008274EB" w:rsidRPr="00CD1FD1" w:rsidRDefault="008274EB" w:rsidP="00BE54F5">
      <w:pPr>
        <w:jc w:val="center"/>
        <w:rPr>
          <w:rFonts w:ascii="Museo Sans 300" w:hAnsi="Museo Sans 300"/>
          <w:b/>
          <w:bCs/>
          <w:sz w:val="22"/>
          <w:szCs w:val="22"/>
        </w:rPr>
      </w:pPr>
    </w:p>
    <w:p w14:paraId="7D30DD88" w14:textId="77777777" w:rsidR="008274EB" w:rsidRPr="00CD1FD1" w:rsidRDefault="008274EB" w:rsidP="00BE54F5">
      <w:pPr>
        <w:jc w:val="center"/>
        <w:rPr>
          <w:rFonts w:ascii="Museo Sans 300" w:hAnsi="Museo Sans 300"/>
          <w:b/>
          <w:bCs/>
          <w:sz w:val="22"/>
          <w:szCs w:val="22"/>
        </w:rPr>
      </w:pPr>
    </w:p>
    <w:p w14:paraId="56AFA3A4" w14:textId="77777777" w:rsidR="00BE54F5" w:rsidRPr="00CD1FD1" w:rsidRDefault="00BE54F5" w:rsidP="00BE54F5">
      <w:pPr>
        <w:jc w:val="center"/>
        <w:rPr>
          <w:rFonts w:ascii="Museo Sans 300" w:hAnsi="Museo Sans 300"/>
          <w:b/>
          <w:bCs/>
          <w:sz w:val="22"/>
          <w:szCs w:val="22"/>
        </w:rPr>
      </w:pPr>
    </w:p>
    <w:p w14:paraId="2B25A086" w14:textId="77777777" w:rsidR="00BE54F5" w:rsidRPr="00CD1FD1" w:rsidRDefault="00BE54F5" w:rsidP="00BE54F5">
      <w:pPr>
        <w:jc w:val="center"/>
        <w:rPr>
          <w:rFonts w:ascii="Museo Sans 300" w:hAnsi="Museo Sans 300"/>
          <w:b/>
          <w:bCs/>
          <w:sz w:val="22"/>
          <w:szCs w:val="22"/>
        </w:rPr>
      </w:pPr>
      <w:r w:rsidRPr="00CD1FD1">
        <w:rPr>
          <w:rFonts w:ascii="Museo Sans 300" w:hAnsi="Museo Sans 300"/>
          <w:b/>
          <w:bCs/>
          <w:sz w:val="22"/>
          <w:szCs w:val="22"/>
        </w:rPr>
        <w:t xml:space="preserve">San Salvador, </w:t>
      </w:r>
      <w:r w:rsidR="00C722FC">
        <w:rPr>
          <w:rFonts w:ascii="Museo Sans 300" w:hAnsi="Museo Sans 300"/>
          <w:b/>
          <w:bCs/>
          <w:sz w:val="22"/>
          <w:szCs w:val="22"/>
        </w:rPr>
        <w:t>agosto</w:t>
      </w:r>
      <w:r w:rsidRPr="00CD1FD1">
        <w:rPr>
          <w:rFonts w:ascii="Museo Sans 300" w:hAnsi="Museo Sans 300"/>
          <w:b/>
          <w:bCs/>
          <w:sz w:val="22"/>
          <w:szCs w:val="22"/>
        </w:rPr>
        <w:t xml:space="preserve"> de </w:t>
      </w:r>
      <w:r w:rsidR="00042C94" w:rsidRPr="00CD1FD1">
        <w:rPr>
          <w:rFonts w:ascii="Museo Sans 300" w:hAnsi="Museo Sans 300"/>
          <w:b/>
          <w:bCs/>
          <w:sz w:val="22"/>
          <w:szCs w:val="22"/>
        </w:rPr>
        <w:t>202</w:t>
      </w:r>
      <w:r w:rsidR="0064579A" w:rsidRPr="00CD1FD1">
        <w:rPr>
          <w:rFonts w:ascii="Museo Sans 300" w:hAnsi="Museo Sans 300"/>
          <w:b/>
          <w:bCs/>
          <w:sz w:val="22"/>
          <w:szCs w:val="22"/>
        </w:rPr>
        <w:t>2</w:t>
      </w:r>
      <w:r w:rsidRPr="00CD1FD1">
        <w:rPr>
          <w:rFonts w:ascii="Museo Sans 300" w:hAnsi="Museo Sans 300"/>
          <w:b/>
          <w:bCs/>
          <w:sz w:val="22"/>
          <w:szCs w:val="22"/>
        </w:rPr>
        <w:t xml:space="preserve"> </w:t>
      </w:r>
    </w:p>
    <w:p w14:paraId="5D8BF544" w14:textId="77777777" w:rsidR="00AB1442" w:rsidRPr="00CD1FD1" w:rsidRDefault="00AB1442" w:rsidP="00BE54F5">
      <w:pPr>
        <w:jc w:val="center"/>
        <w:rPr>
          <w:rFonts w:ascii="Museo Sans 300" w:hAnsi="Museo Sans 300"/>
          <w:b/>
          <w:bCs/>
          <w:sz w:val="22"/>
          <w:szCs w:val="22"/>
        </w:rPr>
      </w:pPr>
    </w:p>
    <w:p w14:paraId="5D4D2192" w14:textId="77777777" w:rsidR="00AB1442" w:rsidRPr="00CD1FD1" w:rsidRDefault="00AB1442" w:rsidP="00BE54F5">
      <w:pPr>
        <w:jc w:val="center"/>
        <w:rPr>
          <w:rFonts w:ascii="Museo Sans 300" w:hAnsi="Museo Sans 300"/>
          <w:b/>
          <w:bCs/>
          <w:sz w:val="22"/>
          <w:szCs w:val="22"/>
        </w:rPr>
      </w:pPr>
    </w:p>
    <w:p w14:paraId="730DBF25" w14:textId="77777777" w:rsidR="00AB1442" w:rsidRPr="00CD1FD1" w:rsidRDefault="00AB1442" w:rsidP="00BE54F5">
      <w:pPr>
        <w:jc w:val="center"/>
        <w:rPr>
          <w:rFonts w:ascii="Museo Sans 300" w:hAnsi="Museo Sans 300"/>
          <w:b/>
          <w:bCs/>
          <w:sz w:val="22"/>
          <w:szCs w:val="22"/>
        </w:rPr>
      </w:pPr>
    </w:p>
    <w:p w14:paraId="716AD7DD" w14:textId="77777777" w:rsidR="00AB1442" w:rsidRPr="00CD1FD1" w:rsidRDefault="00AB1442" w:rsidP="00BE54F5">
      <w:pPr>
        <w:jc w:val="center"/>
        <w:rPr>
          <w:rFonts w:ascii="Museo Sans 300" w:hAnsi="Museo Sans 300"/>
          <w:b/>
          <w:bCs/>
          <w:sz w:val="22"/>
          <w:szCs w:val="22"/>
        </w:rPr>
      </w:pPr>
    </w:p>
    <w:p w14:paraId="2AE82901" w14:textId="77777777" w:rsidR="00F43C4A" w:rsidRPr="00CD1FD1" w:rsidRDefault="00F43C4A" w:rsidP="00F43C4A">
      <w:pPr>
        <w:rPr>
          <w:rFonts w:ascii="Museo Sans 300" w:hAnsi="Museo Sans 300"/>
          <w:sz w:val="22"/>
          <w:szCs w:val="22"/>
          <w:lang w:val="es-MX"/>
        </w:rPr>
      </w:pPr>
      <w:bookmarkStart w:id="1" w:name="_Toc505951453"/>
    </w:p>
    <w:tbl>
      <w:tblPr>
        <w:tblW w:w="9837" w:type="dxa"/>
        <w:tblInd w:w="55" w:type="dxa"/>
        <w:tblCellMar>
          <w:left w:w="70" w:type="dxa"/>
          <w:right w:w="70" w:type="dxa"/>
        </w:tblCellMar>
        <w:tblLook w:val="04A0" w:firstRow="1" w:lastRow="0" w:firstColumn="1" w:lastColumn="0" w:noHBand="0" w:noVBand="1"/>
      </w:tblPr>
      <w:tblGrid>
        <w:gridCol w:w="8804"/>
        <w:gridCol w:w="258"/>
        <w:gridCol w:w="258"/>
        <w:gridCol w:w="258"/>
        <w:gridCol w:w="259"/>
      </w:tblGrid>
      <w:tr w:rsidR="000F2598" w:rsidRPr="00CD1FD1" w14:paraId="0EE69DF9" w14:textId="77777777" w:rsidTr="00390F5A">
        <w:trPr>
          <w:trHeight w:val="9725"/>
        </w:trPr>
        <w:tc>
          <w:tcPr>
            <w:tcW w:w="8804" w:type="dxa"/>
            <w:tcBorders>
              <w:top w:val="nil"/>
              <w:left w:val="nil"/>
              <w:bottom w:val="nil"/>
              <w:right w:val="nil"/>
            </w:tcBorders>
            <w:shd w:val="clear" w:color="000000" w:fill="FFFFFF"/>
            <w:noWrap/>
            <w:vAlign w:val="bottom"/>
          </w:tcPr>
          <w:bookmarkEnd w:id="1" w:displacedByCustomXml="next"/>
          <w:bookmarkStart w:id="2" w:name="_Toc388257452" w:displacedByCustomXml="next"/>
          <w:bookmarkStart w:id="3" w:name="_Toc319049207" w:displacedByCustomXml="next"/>
          <w:bookmarkStart w:id="4" w:name="_Toc308681661" w:displacedByCustomXml="next"/>
          <w:bookmarkStart w:id="5" w:name="_Hlk112070927" w:displacedByCustomXml="next"/>
          <w:sdt>
            <w:sdtPr>
              <w:rPr>
                <w:rFonts w:ascii="Museo Sans 300" w:hAnsi="Museo Sans 300"/>
                <w:sz w:val="22"/>
                <w:szCs w:val="22"/>
                <w:lang w:val="es-MX"/>
              </w:rPr>
              <w:id w:val="52439633"/>
              <w:docPartObj>
                <w:docPartGallery w:val="Table of Contents"/>
                <w:docPartUnique/>
              </w:docPartObj>
            </w:sdtPr>
            <w:sdtEndPr/>
            <w:sdtContent>
              <w:p w14:paraId="2779DE9C" w14:textId="77777777" w:rsidR="006B1211" w:rsidRPr="009E5691" w:rsidRDefault="006B1211" w:rsidP="009E5691">
                <w:pPr>
                  <w:jc w:val="both"/>
                  <w:rPr>
                    <w:rFonts w:ascii="Museo Sans 300" w:hAnsi="Museo Sans 300"/>
                    <w:sz w:val="22"/>
                    <w:szCs w:val="22"/>
                    <w:lang w:val="es-MX"/>
                  </w:rPr>
                </w:pPr>
                <w:r w:rsidRPr="009E5691">
                  <w:rPr>
                    <w:rFonts w:ascii="Museo Sans 300" w:hAnsi="Museo Sans 300"/>
                    <w:sz w:val="22"/>
                    <w:szCs w:val="22"/>
                    <w:lang w:val="es-MX"/>
                  </w:rPr>
                  <w:t>Contenido</w:t>
                </w:r>
              </w:p>
              <w:p w14:paraId="095DD8F2" w14:textId="77777777" w:rsidR="00CA038A" w:rsidRDefault="00CA038A">
                <w:pPr>
                  <w:pStyle w:val="TDC1"/>
                  <w:tabs>
                    <w:tab w:val="right" w:leader="dot" w:pos="9394"/>
                  </w:tabs>
                  <w:rPr>
                    <w:rFonts w:ascii="Museo Sans 300" w:hAnsi="Museo Sans 300"/>
                    <w:sz w:val="22"/>
                    <w:szCs w:val="22"/>
                    <w:lang w:val="es-MX"/>
                  </w:rPr>
                </w:pPr>
              </w:p>
              <w:p w14:paraId="70588052" w14:textId="19B0386A" w:rsidR="0096209A" w:rsidRDefault="006B1211">
                <w:pPr>
                  <w:pStyle w:val="TDC2"/>
                  <w:rPr>
                    <w:rFonts w:asciiTheme="minorHAnsi" w:eastAsiaTheme="minorEastAsia" w:hAnsiTheme="minorHAnsi" w:cstheme="minorBidi"/>
                    <w:noProof/>
                    <w:sz w:val="22"/>
                    <w:szCs w:val="22"/>
                    <w:lang w:val="es-SV" w:eastAsia="es-SV"/>
                  </w:rPr>
                </w:pPr>
                <w:r w:rsidRPr="009E5691">
                  <w:rPr>
                    <w:rFonts w:ascii="Museo Sans 300" w:hAnsi="Museo Sans 300"/>
                    <w:sz w:val="22"/>
                    <w:szCs w:val="22"/>
                    <w:lang w:val="es-MX"/>
                  </w:rPr>
                  <w:fldChar w:fldCharType="begin"/>
                </w:r>
                <w:r w:rsidRPr="009E5691">
                  <w:rPr>
                    <w:rFonts w:ascii="Museo Sans 300" w:hAnsi="Museo Sans 300"/>
                    <w:sz w:val="22"/>
                    <w:szCs w:val="22"/>
                    <w:lang w:val="es-MX"/>
                  </w:rPr>
                  <w:instrText xml:space="preserve"> TOC \o "1-3" \h \z \u </w:instrText>
                </w:r>
                <w:r w:rsidRPr="009E5691">
                  <w:rPr>
                    <w:rFonts w:ascii="Museo Sans 300" w:hAnsi="Museo Sans 300"/>
                    <w:sz w:val="22"/>
                    <w:szCs w:val="22"/>
                    <w:lang w:val="es-MX"/>
                  </w:rPr>
                  <w:fldChar w:fldCharType="separate"/>
                </w:r>
                <w:hyperlink w:anchor="_Toc116389128" w:history="1">
                  <w:r w:rsidR="0096209A" w:rsidRPr="00C52F83">
                    <w:rPr>
                      <w:rStyle w:val="Hipervnculo"/>
                      <w:rFonts w:ascii="Museo Sans 300" w:hAnsi="Museo Sans 300"/>
                      <w:noProof/>
                      <w:lang w:val="es-MX"/>
                    </w:rPr>
                    <w:t>RESUMEN EJECUTIVO</w:t>
                  </w:r>
                  <w:r w:rsidR="0096209A">
                    <w:rPr>
                      <w:noProof/>
                      <w:webHidden/>
                    </w:rPr>
                    <w:tab/>
                  </w:r>
                  <w:r w:rsidR="0096209A">
                    <w:rPr>
                      <w:noProof/>
                      <w:webHidden/>
                    </w:rPr>
                    <w:fldChar w:fldCharType="begin"/>
                  </w:r>
                  <w:r w:rsidR="0096209A">
                    <w:rPr>
                      <w:noProof/>
                      <w:webHidden/>
                    </w:rPr>
                    <w:instrText xml:space="preserve"> PAGEREF _Toc116389128 \h </w:instrText>
                  </w:r>
                  <w:r w:rsidR="0096209A">
                    <w:rPr>
                      <w:noProof/>
                      <w:webHidden/>
                    </w:rPr>
                  </w:r>
                  <w:r w:rsidR="0096209A">
                    <w:rPr>
                      <w:noProof/>
                      <w:webHidden/>
                    </w:rPr>
                    <w:fldChar w:fldCharType="separate"/>
                  </w:r>
                  <w:r w:rsidR="002225DF">
                    <w:rPr>
                      <w:noProof/>
                      <w:webHidden/>
                    </w:rPr>
                    <w:t>3</w:t>
                  </w:r>
                  <w:r w:rsidR="0096209A">
                    <w:rPr>
                      <w:noProof/>
                      <w:webHidden/>
                    </w:rPr>
                    <w:fldChar w:fldCharType="end"/>
                  </w:r>
                </w:hyperlink>
              </w:p>
              <w:p w14:paraId="0E3FC3C7" w14:textId="3BF1DFF7" w:rsidR="0096209A" w:rsidRDefault="00BB70AB">
                <w:pPr>
                  <w:pStyle w:val="TDC2"/>
                  <w:rPr>
                    <w:rFonts w:asciiTheme="minorHAnsi" w:eastAsiaTheme="minorEastAsia" w:hAnsiTheme="minorHAnsi" w:cstheme="minorBidi"/>
                    <w:noProof/>
                    <w:sz w:val="22"/>
                    <w:szCs w:val="22"/>
                    <w:lang w:val="es-SV" w:eastAsia="es-SV"/>
                  </w:rPr>
                </w:pPr>
                <w:hyperlink w:anchor="_Toc116389129" w:history="1">
                  <w:r w:rsidR="0096209A" w:rsidRPr="00C52F83">
                    <w:rPr>
                      <w:rStyle w:val="Hipervnculo"/>
                      <w:rFonts w:ascii="Museo Sans 300" w:hAnsi="Museo Sans 300"/>
                      <w:noProof/>
                      <w:lang w:val="es-MX"/>
                    </w:rPr>
                    <w:t>I.  La ejecución financiera del Sector Público No Financiero (SPNF) a junio 2022</w:t>
                  </w:r>
                  <w:r w:rsidR="0096209A">
                    <w:rPr>
                      <w:noProof/>
                      <w:webHidden/>
                    </w:rPr>
                    <w:tab/>
                  </w:r>
                  <w:r w:rsidR="0096209A">
                    <w:rPr>
                      <w:noProof/>
                      <w:webHidden/>
                    </w:rPr>
                    <w:fldChar w:fldCharType="begin"/>
                  </w:r>
                  <w:r w:rsidR="0096209A">
                    <w:rPr>
                      <w:noProof/>
                      <w:webHidden/>
                    </w:rPr>
                    <w:instrText xml:space="preserve"> PAGEREF _Toc116389129 \h </w:instrText>
                  </w:r>
                  <w:r w:rsidR="0096209A">
                    <w:rPr>
                      <w:noProof/>
                      <w:webHidden/>
                    </w:rPr>
                  </w:r>
                  <w:r w:rsidR="0096209A">
                    <w:rPr>
                      <w:noProof/>
                      <w:webHidden/>
                    </w:rPr>
                    <w:fldChar w:fldCharType="separate"/>
                  </w:r>
                  <w:r w:rsidR="002225DF">
                    <w:rPr>
                      <w:noProof/>
                      <w:webHidden/>
                    </w:rPr>
                    <w:t>3</w:t>
                  </w:r>
                  <w:r w:rsidR="0096209A">
                    <w:rPr>
                      <w:noProof/>
                      <w:webHidden/>
                    </w:rPr>
                    <w:fldChar w:fldCharType="end"/>
                  </w:r>
                </w:hyperlink>
              </w:p>
              <w:p w14:paraId="3F4651AE" w14:textId="632C5A27" w:rsidR="0096209A" w:rsidRDefault="00BB70AB">
                <w:pPr>
                  <w:pStyle w:val="TDC2"/>
                  <w:rPr>
                    <w:rFonts w:asciiTheme="minorHAnsi" w:eastAsiaTheme="minorEastAsia" w:hAnsiTheme="minorHAnsi" w:cstheme="minorBidi"/>
                    <w:noProof/>
                    <w:sz w:val="22"/>
                    <w:szCs w:val="22"/>
                    <w:lang w:val="es-SV" w:eastAsia="es-SV"/>
                  </w:rPr>
                </w:pPr>
                <w:hyperlink w:anchor="_Toc116389130" w:history="1">
                  <w:r w:rsidR="0096209A" w:rsidRPr="00C52F83">
                    <w:rPr>
                      <w:rStyle w:val="Hipervnculo"/>
                      <w:rFonts w:ascii="Museo Sans 300" w:hAnsi="Museo Sans 300"/>
                      <w:noProof/>
                      <w:lang w:val="es-MX"/>
                    </w:rPr>
                    <w:t>II. Entorno Macroeconómico</w:t>
                  </w:r>
                  <w:r w:rsidR="0096209A">
                    <w:rPr>
                      <w:noProof/>
                      <w:webHidden/>
                    </w:rPr>
                    <w:tab/>
                  </w:r>
                  <w:r w:rsidR="0096209A">
                    <w:rPr>
                      <w:noProof/>
                      <w:webHidden/>
                    </w:rPr>
                    <w:fldChar w:fldCharType="begin"/>
                  </w:r>
                  <w:r w:rsidR="0096209A">
                    <w:rPr>
                      <w:noProof/>
                      <w:webHidden/>
                    </w:rPr>
                    <w:instrText xml:space="preserve"> PAGEREF _Toc116389130 \h </w:instrText>
                  </w:r>
                  <w:r w:rsidR="0096209A">
                    <w:rPr>
                      <w:noProof/>
                      <w:webHidden/>
                    </w:rPr>
                  </w:r>
                  <w:r w:rsidR="0096209A">
                    <w:rPr>
                      <w:noProof/>
                      <w:webHidden/>
                    </w:rPr>
                    <w:fldChar w:fldCharType="separate"/>
                  </w:r>
                  <w:r w:rsidR="002225DF">
                    <w:rPr>
                      <w:noProof/>
                      <w:webHidden/>
                    </w:rPr>
                    <w:t>4</w:t>
                  </w:r>
                  <w:r w:rsidR="0096209A">
                    <w:rPr>
                      <w:noProof/>
                      <w:webHidden/>
                    </w:rPr>
                    <w:fldChar w:fldCharType="end"/>
                  </w:r>
                </w:hyperlink>
              </w:p>
              <w:p w14:paraId="07B85662" w14:textId="7DDB209B" w:rsidR="0096209A" w:rsidRDefault="00BB70AB">
                <w:pPr>
                  <w:pStyle w:val="TDC2"/>
                  <w:rPr>
                    <w:rFonts w:asciiTheme="minorHAnsi" w:eastAsiaTheme="minorEastAsia" w:hAnsiTheme="minorHAnsi" w:cstheme="minorBidi"/>
                    <w:noProof/>
                    <w:sz w:val="22"/>
                    <w:szCs w:val="22"/>
                    <w:lang w:val="es-SV" w:eastAsia="es-SV"/>
                  </w:rPr>
                </w:pPr>
                <w:hyperlink w:anchor="_Toc116389131" w:history="1">
                  <w:r w:rsidR="0096209A" w:rsidRPr="00C52F83">
                    <w:rPr>
                      <w:rStyle w:val="Hipervnculo"/>
                      <w:rFonts w:ascii="Museo Sans 300" w:hAnsi="Museo Sans 300"/>
                      <w:noProof/>
                      <w:lang w:val="es-MX"/>
                    </w:rPr>
                    <w:t>GESTION DE LAS FINANZAS PÚBLICAS</w:t>
                  </w:r>
                  <w:r w:rsidR="0096209A">
                    <w:rPr>
                      <w:noProof/>
                      <w:webHidden/>
                    </w:rPr>
                    <w:tab/>
                  </w:r>
                  <w:r w:rsidR="0096209A">
                    <w:rPr>
                      <w:noProof/>
                      <w:webHidden/>
                    </w:rPr>
                    <w:fldChar w:fldCharType="begin"/>
                  </w:r>
                  <w:r w:rsidR="0096209A">
                    <w:rPr>
                      <w:noProof/>
                      <w:webHidden/>
                    </w:rPr>
                    <w:instrText xml:space="preserve"> PAGEREF _Toc116389131 \h </w:instrText>
                  </w:r>
                  <w:r w:rsidR="0096209A">
                    <w:rPr>
                      <w:noProof/>
                      <w:webHidden/>
                    </w:rPr>
                  </w:r>
                  <w:r w:rsidR="0096209A">
                    <w:rPr>
                      <w:noProof/>
                      <w:webHidden/>
                    </w:rPr>
                    <w:fldChar w:fldCharType="separate"/>
                  </w:r>
                  <w:r w:rsidR="002225DF">
                    <w:rPr>
                      <w:noProof/>
                      <w:webHidden/>
                    </w:rPr>
                    <w:t>6</w:t>
                  </w:r>
                  <w:r w:rsidR="0096209A">
                    <w:rPr>
                      <w:noProof/>
                      <w:webHidden/>
                    </w:rPr>
                    <w:fldChar w:fldCharType="end"/>
                  </w:r>
                </w:hyperlink>
              </w:p>
              <w:p w14:paraId="45D69CBB" w14:textId="4D725DDB" w:rsidR="0096209A" w:rsidRDefault="00BB70AB">
                <w:pPr>
                  <w:pStyle w:val="TDC2"/>
                  <w:rPr>
                    <w:rFonts w:asciiTheme="minorHAnsi" w:eastAsiaTheme="minorEastAsia" w:hAnsiTheme="minorHAnsi" w:cstheme="minorBidi"/>
                    <w:noProof/>
                    <w:sz w:val="22"/>
                    <w:szCs w:val="22"/>
                    <w:lang w:val="es-SV" w:eastAsia="es-SV"/>
                  </w:rPr>
                </w:pPr>
                <w:hyperlink w:anchor="_Toc116389132" w:history="1">
                  <w:r w:rsidR="0096209A" w:rsidRPr="00C52F83">
                    <w:rPr>
                      <w:rStyle w:val="Hipervnculo"/>
                      <w:rFonts w:ascii="Museo Sans 300" w:hAnsi="Museo Sans 300"/>
                      <w:noProof/>
                      <w:lang w:val="es-MX"/>
                    </w:rPr>
                    <w:t>1. Ingresos Totales del SPNF (ver anexo 3).</w:t>
                  </w:r>
                  <w:r w:rsidR="0096209A">
                    <w:rPr>
                      <w:noProof/>
                      <w:webHidden/>
                    </w:rPr>
                    <w:tab/>
                  </w:r>
                  <w:r w:rsidR="0096209A">
                    <w:rPr>
                      <w:noProof/>
                      <w:webHidden/>
                    </w:rPr>
                    <w:fldChar w:fldCharType="begin"/>
                  </w:r>
                  <w:r w:rsidR="0096209A">
                    <w:rPr>
                      <w:noProof/>
                      <w:webHidden/>
                    </w:rPr>
                    <w:instrText xml:space="preserve"> PAGEREF _Toc116389132 \h </w:instrText>
                  </w:r>
                  <w:r w:rsidR="0096209A">
                    <w:rPr>
                      <w:noProof/>
                      <w:webHidden/>
                    </w:rPr>
                  </w:r>
                  <w:r w:rsidR="0096209A">
                    <w:rPr>
                      <w:noProof/>
                      <w:webHidden/>
                    </w:rPr>
                    <w:fldChar w:fldCharType="separate"/>
                  </w:r>
                  <w:r w:rsidR="002225DF">
                    <w:rPr>
                      <w:noProof/>
                      <w:webHidden/>
                    </w:rPr>
                    <w:t>6</w:t>
                  </w:r>
                  <w:r w:rsidR="0096209A">
                    <w:rPr>
                      <w:noProof/>
                      <w:webHidden/>
                    </w:rPr>
                    <w:fldChar w:fldCharType="end"/>
                  </w:r>
                </w:hyperlink>
              </w:p>
              <w:p w14:paraId="55479570" w14:textId="608C759E"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33" w:history="1">
                  <w:r w:rsidR="0096209A" w:rsidRPr="00C52F83">
                    <w:rPr>
                      <w:rStyle w:val="Hipervnculo"/>
                      <w:rFonts w:ascii="Museo Sans 300" w:hAnsi="Museo Sans 300"/>
                      <w:b/>
                      <w:noProof/>
                      <w:lang w:val="es-MX"/>
                    </w:rPr>
                    <w:t>1.1 Ingresos Tributarios y Contribuciones Especiales</w:t>
                  </w:r>
                  <w:r w:rsidR="0096209A">
                    <w:rPr>
                      <w:noProof/>
                      <w:webHidden/>
                    </w:rPr>
                    <w:tab/>
                  </w:r>
                  <w:r w:rsidR="0096209A">
                    <w:rPr>
                      <w:noProof/>
                      <w:webHidden/>
                    </w:rPr>
                    <w:fldChar w:fldCharType="begin"/>
                  </w:r>
                  <w:r w:rsidR="0096209A">
                    <w:rPr>
                      <w:noProof/>
                      <w:webHidden/>
                    </w:rPr>
                    <w:instrText xml:space="preserve"> PAGEREF _Toc116389133 \h </w:instrText>
                  </w:r>
                  <w:r w:rsidR="0096209A">
                    <w:rPr>
                      <w:noProof/>
                      <w:webHidden/>
                    </w:rPr>
                  </w:r>
                  <w:r w:rsidR="0096209A">
                    <w:rPr>
                      <w:noProof/>
                      <w:webHidden/>
                    </w:rPr>
                    <w:fldChar w:fldCharType="separate"/>
                  </w:r>
                  <w:r w:rsidR="002225DF">
                    <w:rPr>
                      <w:noProof/>
                      <w:webHidden/>
                    </w:rPr>
                    <w:t>6</w:t>
                  </w:r>
                  <w:r w:rsidR="0096209A">
                    <w:rPr>
                      <w:noProof/>
                      <w:webHidden/>
                    </w:rPr>
                    <w:fldChar w:fldCharType="end"/>
                  </w:r>
                </w:hyperlink>
              </w:p>
              <w:p w14:paraId="363CCBEB" w14:textId="2F10BDB4" w:rsidR="0096209A" w:rsidRDefault="00BB70AB">
                <w:pPr>
                  <w:pStyle w:val="TDC2"/>
                  <w:rPr>
                    <w:rFonts w:asciiTheme="minorHAnsi" w:eastAsiaTheme="minorEastAsia" w:hAnsiTheme="minorHAnsi" w:cstheme="minorBidi"/>
                    <w:noProof/>
                    <w:sz w:val="22"/>
                    <w:szCs w:val="22"/>
                    <w:lang w:val="es-SV" w:eastAsia="es-SV"/>
                  </w:rPr>
                </w:pPr>
                <w:hyperlink w:anchor="_Toc116389134" w:history="1">
                  <w:r w:rsidR="0096209A" w:rsidRPr="00C52F83">
                    <w:rPr>
                      <w:rStyle w:val="Hipervnculo"/>
                      <w:rFonts w:ascii="Museo Sans 300" w:hAnsi="Museo Sans 300"/>
                      <w:b/>
                      <w:noProof/>
                      <w:lang w:val="es-MX"/>
                    </w:rPr>
                    <w:t>1.2 Ingresos no Tributarios</w:t>
                  </w:r>
                  <w:r w:rsidR="0096209A">
                    <w:rPr>
                      <w:noProof/>
                      <w:webHidden/>
                    </w:rPr>
                    <w:tab/>
                  </w:r>
                  <w:r w:rsidR="0096209A">
                    <w:rPr>
                      <w:noProof/>
                      <w:webHidden/>
                    </w:rPr>
                    <w:fldChar w:fldCharType="begin"/>
                  </w:r>
                  <w:r w:rsidR="0096209A">
                    <w:rPr>
                      <w:noProof/>
                      <w:webHidden/>
                    </w:rPr>
                    <w:instrText xml:space="preserve"> PAGEREF _Toc116389134 \h </w:instrText>
                  </w:r>
                  <w:r w:rsidR="0096209A">
                    <w:rPr>
                      <w:noProof/>
                      <w:webHidden/>
                    </w:rPr>
                  </w:r>
                  <w:r w:rsidR="0096209A">
                    <w:rPr>
                      <w:noProof/>
                      <w:webHidden/>
                    </w:rPr>
                    <w:fldChar w:fldCharType="separate"/>
                  </w:r>
                  <w:r w:rsidR="002225DF">
                    <w:rPr>
                      <w:noProof/>
                      <w:webHidden/>
                    </w:rPr>
                    <w:t>10</w:t>
                  </w:r>
                  <w:r w:rsidR="0096209A">
                    <w:rPr>
                      <w:noProof/>
                      <w:webHidden/>
                    </w:rPr>
                    <w:fldChar w:fldCharType="end"/>
                  </w:r>
                </w:hyperlink>
              </w:p>
              <w:p w14:paraId="5567D53B" w14:textId="33DD5CFF" w:rsidR="0096209A" w:rsidRDefault="00BB70AB">
                <w:pPr>
                  <w:pStyle w:val="TDC2"/>
                  <w:rPr>
                    <w:rFonts w:asciiTheme="minorHAnsi" w:eastAsiaTheme="minorEastAsia" w:hAnsiTheme="minorHAnsi" w:cstheme="minorBidi"/>
                    <w:noProof/>
                    <w:sz w:val="22"/>
                    <w:szCs w:val="22"/>
                    <w:lang w:val="es-SV" w:eastAsia="es-SV"/>
                  </w:rPr>
                </w:pPr>
                <w:hyperlink w:anchor="_Toc116389135" w:history="1">
                  <w:r w:rsidR="0096209A" w:rsidRPr="00C52F83">
                    <w:rPr>
                      <w:rStyle w:val="Hipervnculo"/>
                      <w:rFonts w:ascii="Museo Sans 300" w:hAnsi="Museo Sans 300"/>
                      <w:b/>
                      <w:noProof/>
                      <w:lang w:val="es-MX"/>
                    </w:rPr>
                    <w:t>1.3 Superávit de las Empresas Públicas No Financieras</w:t>
                  </w:r>
                  <w:r w:rsidR="0096209A">
                    <w:rPr>
                      <w:noProof/>
                      <w:webHidden/>
                    </w:rPr>
                    <w:tab/>
                  </w:r>
                  <w:r w:rsidR="0096209A">
                    <w:rPr>
                      <w:noProof/>
                      <w:webHidden/>
                    </w:rPr>
                    <w:fldChar w:fldCharType="begin"/>
                  </w:r>
                  <w:r w:rsidR="0096209A">
                    <w:rPr>
                      <w:noProof/>
                      <w:webHidden/>
                    </w:rPr>
                    <w:instrText xml:space="preserve"> PAGEREF _Toc116389135 \h </w:instrText>
                  </w:r>
                  <w:r w:rsidR="0096209A">
                    <w:rPr>
                      <w:noProof/>
                      <w:webHidden/>
                    </w:rPr>
                  </w:r>
                  <w:r w:rsidR="0096209A">
                    <w:rPr>
                      <w:noProof/>
                      <w:webHidden/>
                    </w:rPr>
                    <w:fldChar w:fldCharType="separate"/>
                  </w:r>
                  <w:r w:rsidR="002225DF">
                    <w:rPr>
                      <w:noProof/>
                      <w:webHidden/>
                    </w:rPr>
                    <w:t>11</w:t>
                  </w:r>
                  <w:r w:rsidR="0096209A">
                    <w:rPr>
                      <w:noProof/>
                      <w:webHidden/>
                    </w:rPr>
                    <w:fldChar w:fldCharType="end"/>
                  </w:r>
                </w:hyperlink>
              </w:p>
              <w:p w14:paraId="0B6C10A1" w14:textId="5821A462" w:rsidR="0096209A" w:rsidRDefault="00BB70AB">
                <w:pPr>
                  <w:pStyle w:val="TDC2"/>
                  <w:rPr>
                    <w:rFonts w:asciiTheme="minorHAnsi" w:eastAsiaTheme="minorEastAsia" w:hAnsiTheme="minorHAnsi" w:cstheme="minorBidi"/>
                    <w:noProof/>
                    <w:sz w:val="22"/>
                    <w:szCs w:val="22"/>
                    <w:lang w:val="es-SV" w:eastAsia="es-SV"/>
                  </w:rPr>
                </w:pPr>
                <w:hyperlink w:anchor="_Toc116389136" w:history="1">
                  <w:r w:rsidR="0096209A" w:rsidRPr="00C52F83">
                    <w:rPr>
                      <w:rStyle w:val="Hipervnculo"/>
                      <w:rFonts w:ascii="Museo Sans 300" w:hAnsi="Museo Sans 300"/>
                      <w:b/>
                      <w:noProof/>
                      <w:lang w:val="es-MX"/>
                    </w:rPr>
                    <w:t>1.4 Donaciones</w:t>
                  </w:r>
                  <w:r w:rsidR="0096209A">
                    <w:rPr>
                      <w:noProof/>
                      <w:webHidden/>
                    </w:rPr>
                    <w:tab/>
                  </w:r>
                  <w:r w:rsidR="0096209A">
                    <w:rPr>
                      <w:noProof/>
                      <w:webHidden/>
                    </w:rPr>
                    <w:fldChar w:fldCharType="begin"/>
                  </w:r>
                  <w:r w:rsidR="0096209A">
                    <w:rPr>
                      <w:noProof/>
                      <w:webHidden/>
                    </w:rPr>
                    <w:instrText xml:space="preserve"> PAGEREF _Toc116389136 \h </w:instrText>
                  </w:r>
                  <w:r w:rsidR="0096209A">
                    <w:rPr>
                      <w:noProof/>
                      <w:webHidden/>
                    </w:rPr>
                  </w:r>
                  <w:r w:rsidR="0096209A">
                    <w:rPr>
                      <w:noProof/>
                      <w:webHidden/>
                    </w:rPr>
                    <w:fldChar w:fldCharType="separate"/>
                  </w:r>
                  <w:r w:rsidR="002225DF">
                    <w:rPr>
                      <w:noProof/>
                      <w:webHidden/>
                    </w:rPr>
                    <w:t>11</w:t>
                  </w:r>
                  <w:r w:rsidR="0096209A">
                    <w:rPr>
                      <w:noProof/>
                      <w:webHidden/>
                    </w:rPr>
                    <w:fldChar w:fldCharType="end"/>
                  </w:r>
                </w:hyperlink>
              </w:p>
              <w:p w14:paraId="4BC69BF2" w14:textId="70485A55"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37" w:history="1">
                  <w:r w:rsidR="0096209A" w:rsidRPr="00C52F83">
                    <w:rPr>
                      <w:rStyle w:val="Hipervnculo"/>
                      <w:rFonts w:ascii="Museo Sans 300" w:hAnsi="Museo Sans 300"/>
                      <w:b/>
                      <w:noProof/>
                      <w:lang w:val="es-MX"/>
                    </w:rPr>
                    <w:t>2. Gastos del Sector Público No Financiero</w:t>
                  </w:r>
                  <w:r w:rsidR="0096209A" w:rsidRPr="00C52F83">
                    <w:rPr>
                      <w:rStyle w:val="Hipervnculo"/>
                      <w:rFonts w:ascii="Museo Sans 300" w:hAnsi="Museo Sans 300"/>
                      <w:noProof/>
                      <w:lang w:val="es-MX"/>
                    </w:rPr>
                    <w:t xml:space="preserve"> (ver anexo 1 y 2)</w:t>
                  </w:r>
                  <w:r w:rsidR="0096209A">
                    <w:rPr>
                      <w:noProof/>
                      <w:webHidden/>
                    </w:rPr>
                    <w:tab/>
                  </w:r>
                  <w:r w:rsidR="0096209A">
                    <w:rPr>
                      <w:noProof/>
                      <w:webHidden/>
                    </w:rPr>
                    <w:fldChar w:fldCharType="begin"/>
                  </w:r>
                  <w:r w:rsidR="0096209A">
                    <w:rPr>
                      <w:noProof/>
                      <w:webHidden/>
                    </w:rPr>
                    <w:instrText xml:space="preserve"> PAGEREF _Toc116389137 \h </w:instrText>
                  </w:r>
                  <w:r w:rsidR="0096209A">
                    <w:rPr>
                      <w:noProof/>
                      <w:webHidden/>
                    </w:rPr>
                  </w:r>
                  <w:r w:rsidR="0096209A">
                    <w:rPr>
                      <w:noProof/>
                      <w:webHidden/>
                    </w:rPr>
                    <w:fldChar w:fldCharType="separate"/>
                  </w:r>
                  <w:r w:rsidR="002225DF">
                    <w:rPr>
                      <w:noProof/>
                      <w:webHidden/>
                    </w:rPr>
                    <w:t>11</w:t>
                  </w:r>
                  <w:r w:rsidR="0096209A">
                    <w:rPr>
                      <w:noProof/>
                      <w:webHidden/>
                    </w:rPr>
                    <w:fldChar w:fldCharType="end"/>
                  </w:r>
                </w:hyperlink>
              </w:p>
              <w:p w14:paraId="1D597A3E" w14:textId="7A265EEF" w:rsidR="0096209A" w:rsidRDefault="00BB70AB">
                <w:pPr>
                  <w:pStyle w:val="TDC2"/>
                  <w:rPr>
                    <w:rFonts w:asciiTheme="minorHAnsi" w:eastAsiaTheme="minorEastAsia" w:hAnsiTheme="minorHAnsi" w:cstheme="minorBidi"/>
                    <w:noProof/>
                    <w:sz w:val="22"/>
                    <w:szCs w:val="22"/>
                    <w:lang w:val="es-SV" w:eastAsia="es-SV"/>
                  </w:rPr>
                </w:pPr>
                <w:hyperlink w:anchor="_Toc116389138" w:history="1">
                  <w:r w:rsidR="0096209A" w:rsidRPr="00C52F83">
                    <w:rPr>
                      <w:rStyle w:val="Hipervnculo"/>
                      <w:rFonts w:ascii="Museo Sans 300" w:hAnsi="Museo Sans 300"/>
                      <w:b/>
                      <w:noProof/>
                      <w:lang w:val="es-MX"/>
                    </w:rPr>
                    <w:t>2.1 Gastos corrientes</w:t>
                  </w:r>
                  <w:r w:rsidR="0096209A">
                    <w:rPr>
                      <w:noProof/>
                      <w:webHidden/>
                    </w:rPr>
                    <w:tab/>
                  </w:r>
                  <w:r w:rsidR="0096209A">
                    <w:rPr>
                      <w:noProof/>
                      <w:webHidden/>
                    </w:rPr>
                    <w:fldChar w:fldCharType="begin"/>
                  </w:r>
                  <w:r w:rsidR="0096209A">
                    <w:rPr>
                      <w:noProof/>
                      <w:webHidden/>
                    </w:rPr>
                    <w:instrText xml:space="preserve"> PAGEREF _Toc116389138 \h </w:instrText>
                  </w:r>
                  <w:r w:rsidR="0096209A">
                    <w:rPr>
                      <w:noProof/>
                      <w:webHidden/>
                    </w:rPr>
                  </w:r>
                  <w:r w:rsidR="0096209A">
                    <w:rPr>
                      <w:noProof/>
                      <w:webHidden/>
                    </w:rPr>
                    <w:fldChar w:fldCharType="separate"/>
                  </w:r>
                  <w:r w:rsidR="002225DF">
                    <w:rPr>
                      <w:noProof/>
                      <w:webHidden/>
                    </w:rPr>
                    <w:t>11</w:t>
                  </w:r>
                  <w:r w:rsidR="0096209A">
                    <w:rPr>
                      <w:noProof/>
                      <w:webHidden/>
                    </w:rPr>
                    <w:fldChar w:fldCharType="end"/>
                  </w:r>
                </w:hyperlink>
              </w:p>
              <w:p w14:paraId="0CB36283" w14:textId="16A94CA3"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39" w:history="1">
                  <w:r w:rsidR="0096209A" w:rsidRPr="00C52F83">
                    <w:rPr>
                      <w:rStyle w:val="Hipervnculo"/>
                      <w:rFonts w:ascii="Museo Sans 300" w:hAnsi="Museo Sans 300"/>
                      <w:b/>
                      <w:noProof/>
                      <w:lang w:val="es-MX"/>
                    </w:rPr>
                    <w:t>3. Deuda del SPNF</w:t>
                  </w:r>
                  <w:r w:rsidR="0096209A">
                    <w:rPr>
                      <w:noProof/>
                      <w:webHidden/>
                    </w:rPr>
                    <w:tab/>
                  </w:r>
                  <w:r w:rsidR="0096209A">
                    <w:rPr>
                      <w:noProof/>
                      <w:webHidden/>
                    </w:rPr>
                    <w:fldChar w:fldCharType="begin"/>
                  </w:r>
                  <w:r w:rsidR="0096209A">
                    <w:rPr>
                      <w:noProof/>
                      <w:webHidden/>
                    </w:rPr>
                    <w:instrText xml:space="preserve"> PAGEREF _Toc116389139 \h </w:instrText>
                  </w:r>
                  <w:r w:rsidR="0096209A">
                    <w:rPr>
                      <w:noProof/>
                      <w:webHidden/>
                    </w:rPr>
                  </w:r>
                  <w:r w:rsidR="0096209A">
                    <w:rPr>
                      <w:noProof/>
                      <w:webHidden/>
                    </w:rPr>
                    <w:fldChar w:fldCharType="separate"/>
                  </w:r>
                  <w:r w:rsidR="002225DF">
                    <w:rPr>
                      <w:noProof/>
                      <w:webHidden/>
                    </w:rPr>
                    <w:t>16</w:t>
                  </w:r>
                  <w:r w:rsidR="0096209A">
                    <w:rPr>
                      <w:noProof/>
                      <w:webHidden/>
                    </w:rPr>
                    <w:fldChar w:fldCharType="end"/>
                  </w:r>
                </w:hyperlink>
              </w:p>
              <w:p w14:paraId="58D6E1BA" w14:textId="787AAC4E"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40" w:history="1">
                  <w:r w:rsidR="0096209A" w:rsidRPr="00C52F83">
                    <w:rPr>
                      <w:rStyle w:val="Hipervnculo"/>
                      <w:rFonts w:ascii="Museo Sans 300" w:hAnsi="Museo Sans 300"/>
                      <w:b/>
                      <w:noProof/>
                      <w:lang w:val="es-MX"/>
                    </w:rPr>
                    <w:t>3.1 Deuda Interna</w:t>
                  </w:r>
                  <w:r w:rsidR="0096209A">
                    <w:rPr>
                      <w:noProof/>
                      <w:webHidden/>
                    </w:rPr>
                    <w:tab/>
                  </w:r>
                  <w:r w:rsidR="0096209A">
                    <w:rPr>
                      <w:noProof/>
                      <w:webHidden/>
                    </w:rPr>
                    <w:fldChar w:fldCharType="begin"/>
                  </w:r>
                  <w:r w:rsidR="0096209A">
                    <w:rPr>
                      <w:noProof/>
                      <w:webHidden/>
                    </w:rPr>
                    <w:instrText xml:space="preserve"> PAGEREF _Toc116389140 \h </w:instrText>
                  </w:r>
                  <w:r w:rsidR="0096209A">
                    <w:rPr>
                      <w:noProof/>
                      <w:webHidden/>
                    </w:rPr>
                  </w:r>
                  <w:r w:rsidR="0096209A">
                    <w:rPr>
                      <w:noProof/>
                      <w:webHidden/>
                    </w:rPr>
                    <w:fldChar w:fldCharType="separate"/>
                  </w:r>
                  <w:r w:rsidR="002225DF">
                    <w:rPr>
                      <w:noProof/>
                      <w:webHidden/>
                    </w:rPr>
                    <w:t>17</w:t>
                  </w:r>
                  <w:r w:rsidR="0096209A">
                    <w:rPr>
                      <w:noProof/>
                      <w:webHidden/>
                    </w:rPr>
                    <w:fldChar w:fldCharType="end"/>
                  </w:r>
                </w:hyperlink>
              </w:p>
              <w:p w14:paraId="469E87DE" w14:textId="16AF681D"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41" w:history="1">
                  <w:r w:rsidR="0096209A" w:rsidRPr="00C52F83">
                    <w:rPr>
                      <w:rStyle w:val="Hipervnculo"/>
                      <w:rFonts w:ascii="Museo Sans 300" w:hAnsi="Museo Sans 300"/>
                      <w:b/>
                      <w:noProof/>
                      <w:lang w:val="es-MX"/>
                    </w:rPr>
                    <w:t>3.2 Deuda Externa.</w:t>
                  </w:r>
                  <w:r w:rsidR="0096209A">
                    <w:rPr>
                      <w:noProof/>
                      <w:webHidden/>
                    </w:rPr>
                    <w:tab/>
                  </w:r>
                  <w:r w:rsidR="0096209A">
                    <w:rPr>
                      <w:noProof/>
                      <w:webHidden/>
                    </w:rPr>
                    <w:fldChar w:fldCharType="begin"/>
                  </w:r>
                  <w:r w:rsidR="0096209A">
                    <w:rPr>
                      <w:noProof/>
                      <w:webHidden/>
                    </w:rPr>
                    <w:instrText xml:space="preserve"> PAGEREF _Toc116389141 \h </w:instrText>
                  </w:r>
                  <w:r w:rsidR="0096209A">
                    <w:rPr>
                      <w:noProof/>
                      <w:webHidden/>
                    </w:rPr>
                  </w:r>
                  <w:r w:rsidR="0096209A">
                    <w:rPr>
                      <w:noProof/>
                      <w:webHidden/>
                    </w:rPr>
                    <w:fldChar w:fldCharType="separate"/>
                  </w:r>
                  <w:r w:rsidR="002225DF">
                    <w:rPr>
                      <w:noProof/>
                      <w:webHidden/>
                    </w:rPr>
                    <w:t>17</w:t>
                  </w:r>
                  <w:r w:rsidR="0096209A">
                    <w:rPr>
                      <w:noProof/>
                      <w:webHidden/>
                    </w:rPr>
                    <w:fldChar w:fldCharType="end"/>
                  </w:r>
                </w:hyperlink>
              </w:p>
              <w:p w14:paraId="4ACF2DAF" w14:textId="5F002ED7"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42" w:history="1">
                  <w:r w:rsidR="0096209A" w:rsidRPr="00C52F83">
                    <w:rPr>
                      <w:rStyle w:val="Hipervnculo"/>
                      <w:rFonts w:ascii="Museo Sans 300" w:hAnsi="Museo Sans 300"/>
                      <w:b/>
                      <w:noProof/>
                      <w:lang w:val="es-MX"/>
                    </w:rPr>
                    <w:t>3.3 Servicio de la deuda del SPNF</w:t>
                  </w:r>
                  <w:r w:rsidR="0096209A">
                    <w:rPr>
                      <w:noProof/>
                      <w:webHidden/>
                    </w:rPr>
                    <w:tab/>
                  </w:r>
                  <w:r w:rsidR="0096209A">
                    <w:rPr>
                      <w:noProof/>
                      <w:webHidden/>
                    </w:rPr>
                    <w:fldChar w:fldCharType="begin"/>
                  </w:r>
                  <w:r w:rsidR="0096209A">
                    <w:rPr>
                      <w:noProof/>
                      <w:webHidden/>
                    </w:rPr>
                    <w:instrText xml:space="preserve"> PAGEREF _Toc116389142 \h </w:instrText>
                  </w:r>
                  <w:r w:rsidR="0096209A">
                    <w:rPr>
                      <w:noProof/>
                      <w:webHidden/>
                    </w:rPr>
                  </w:r>
                  <w:r w:rsidR="0096209A">
                    <w:rPr>
                      <w:noProof/>
                      <w:webHidden/>
                    </w:rPr>
                    <w:fldChar w:fldCharType="separate"/>
                  </w:r>
                  <w:r w:rsidR="002225DF">
                    <w:rPr>
                      <w:noProof/>
                      <w:webHidden/>
                    </w:rPr>
                    <w:t>17</w:t>
                  </w:r>
                  <w:r w:rsidR="0096209A">
                    <w:rPr>
                      <w:noProof/>
                      <w:webHidden/>
                    </w:rPr>
                    <w:fldChar w:fldCharType="end"/>
                  </w:r>
                </w:hyperlink>
              </w:p>
              <w:p w14:paraId="09186AD8" w14:textId="3666FE21" w:rsidR="0096209A" w:rsidRDefault="00BB70AB">
                <w:pPr>
                  <w:pStyle w:val="TDC2"/>
                  <w:rPr>
                    <w:rFonts w:asciiTheme="minorHAnsi" w:eastAsiaTheme="minorEastAsia" w:hAnsiTheme="minorHAnsi" w:cstheme="minorBidi"/>
                    <w:noProof/>
                    <w:sz w:val="22"/>
                    <w:szCs w:val="22"/>
                    <w:lang w:val="es-SV" w:eastAsia="es-SV"/>
                  </w:rPr>
                </w:pPr>
                <w:hyperlink w:anchor="_Toc116389143" w:history="1">
                  <w:r w:rsidR="0096209A" w:rsidRPr="00C52F83">
                    <w:rPr>
                      <w:rStyle w:val="Hipervnculo"/>
                      <w:rFonts w:ascii="Museo Sans 300" w:hAnsi="Museo Sans 300"/>
                      <w:b/>
                      <w:noProof/>
                      <w:lang w:val="es-MX"/>
                    </w:rPr>
                    <w:t>4. Resultados Globales del SPNF (ver anexo 1 y 2)</w:t>
                  </w:r>
                  <w:r w:rsidR="0096209A">
                    <w:rPr>
                      <w:noProof/>
                      <w:webHidden/>
                    </w:rPr>
                    <w:tab/>
                  </w:r>
                  <w:r w:rsidR="0096209A">
                    <w:rPr>
                      <w:noProof/>
                      <w:webHidden/>
                    </w:rPr>
                    <w:fldChar w:fldCharType="begin"/>
                  </w:r>
                  <w:r w:rsidR="0096209A">
                    <w:rPr>
                      <w:noProof/>
                      <w:webHidden/>
                    </w:rPr>
                    <w:instrText xml:space="preserve"> PAGEREF _Toc116389143 \h </w:instrText>
                  </w:r>
                  <w:r w:rsidR="0096209A">
                    <w:rPr>
                      <w:noProof/>
                      <w:webHidden/>
                    </w:rPr>
                  </w:r>
                  <w:r w:rsidR="0096209A">
                    <w:rPr>
                      <w:noProof/>
                      <w:webHidden/>
                    </w:rPr>
                    <w:fldChar w:fldCharType="separate"/>
                  </w:r>
                  <w:r w:rsidR="002225DF">
                    <w:rPr>
                      <w:noProof/>
                      <w:webHidden/>
                    </w:rPr>
                    <w:t>18</w:t>
                  </w:r>
                  <w:r w:rsidR="0096209A">
                    <w:rPr>
                      <w:noProof/>
                      <w:webHidden/>
                    </w:rPr>
                    <w:fldChar w:fldCharType="end"/>
                  </w:r>
                </w:hyperlink>
              </w:p>
              <w:p w14:paraId="08C792E6" w14:textId="56DB272E"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44" w:history="1">
                  <w:r w:rsidR="0096209A" w:rsidRPr="00C52F83">
                    <w:rPr>
                      <w:rStyle w:val="Hipervnculo"/>
                      <w:rFonts w:ascii="Museo Sans 300" w:hAnsi="Museo Sans 300"/>
                      <w:b/>
                      <w:noProof/>
                      <w:lang w:val="es-MX"/>
                    </w:rPr>
                    <w:t>4.1 Balance Primario</w:t>
                  </w:r>
                  <w:r w:rsidR="0096209A">
                    <w:rPr>
                      <w:noProof/>
                      <w:webHidden/>
                    </w:rPr>
                    <w:tab/>
                  </w:r>
                  <w:r w:rsidR="0096209A">
                    <w:rPr>
                      <w:noProof/>
                      <w:webHidden/>
                    </w:rPr>
                    <w:fldChar w:fldCharType="begin"/>
                  </w:r>
                  <w:r w:rsidR="0096209A">
                    <w:rPr>
                      <w:noProof/>
                      <w:webHidden/>
                    </w:rPr>
                    <w:instrText xml:space="preserve"> PAGEREF _Toc116389144 \h </w:instrText>
                  </w:r>
                  <w:r w:rsidR="0096209A">
                    <w:rPr>
                      <w:noProof/>
                      <w:webHidden/>
                    </w:rPr>
                  </w:r>
                  <w:r w:rsidR="0096209A">
                    <w:rPr>
                      <w:noProof/>
                      <w:webHidden/>
                    </w:rPr>
                    <w:fldChar w:fldCharType="separate"/>
                  </w:r>
                  <w:r w:rsidR="002225DF">
                    <w:rPr>
                      <w:noProof/>
                      <w:webHidden/>
                    </w:rPr>
                    <w:t>18</w:t>
                  </w:r>
                  <w:r w:rsidR="0096209A">
                    <w:rPr>
                      <w:noProof/>
                      <w:webHidden/>
                    </w:rPr>
                    <w:fldChar w:fldCharType="end"/>
                  </w:r>
                </w:hyperlink>
              </w:p>
              <w:p w14:paraId="6B5B3E65" w14:textId="75BABF43" w:rsidR="0096209A" w:rsidRDefault="00BB70AB">
                <w:pPr>
                  <w:pStyle w:val="TDC3"/>
                  <w:tabs>
                    <w:tab w:val="right" w:leader="dot" w:pos="9394"/>
                  </w:tabs>
                  <w:rPr>
                    <w:rFonts w:asciiTheme="minorHAnsi" w:eastAsiaTheme="minorEastAsia" w:hAnsiTheme="minorHAnsi" w:cstheme="minorBidi"/>
                    <w:noProof/>
                    <w:sz w:val="22"/>
                    <w:szCs w:val="22"/>
                    <w:lang w:val="es-SV" w:eastAsia="es-SV"/>
                  </w:rPr>
                </w:pPr>
                <w:hyperlink w:anchor="_Toc116389145" w:history="1">
                  <w:r w:rsidR="0096209A" w:rsidRPr="00C52F83">
                    <w:rPr>
                      <w:rStyle w:val="Hipervnculo"/>
                      <w:rFonts w:ascii="Museo Sans 300" w:hAnsi="Museo Sans 300"/>
                      <w:b/>
                      <w:noProof/>
                      <w:lang w:val="es-MX"/>
                    </w:rPr>
                    <w:t>4.2 Balance global</w:t>
                  </w:r>
                  <w:r w:rsidR="0096209A">
                    <w:rPr>
                      <w:noProof/>
                      <w:webHidden/>
                    </w:rPr>
                    <w:tab/>
                  </w:r>
                  <w:r w:rsidR="0096209A">
                    <w:rPr>
                      <w:noProof/>
                      <w:webHidden/>
                    </w:rPr>
                    <w:fldChar w:fldCharType="begin"/>
                  </w:r>
                  <w:r w:rsidR="0096209A">
                    <w:rPr>
                      <w:noProof/>
                      <w:webHidden/>
                    </w:rPr>
                    <w:instrText xml:space="preserve"> PAGEREF _Toc116389145 \h </w:instrText>
                  </w:r>
                  <w:r w:rsidR="0096209A">
                    <w:rPr>
                      <w:noProof/>
                      <w:webHidden/>
                    </w:rPr>
                  </w:r>
                  <w:r w:rsidR="0096209A">
                    <w:rPr>
                      <w:noProof/>
                      <w:webHidden/>
                    </w:rPr>
                    <w:fldChar w:fldCharType="separate"/>
                  </w:r>
                  <w:r w:rsidR="002225DF">
                    <w:rPr>
                      <w:noProof/>
                      <w:webHidden/>
                    </w:rPr>
                    <w:t>18</w:t>
                  </w:r>
                  <w:r w:rsidR="0096209A">
                    <w:rPr>
                      <w:noProof/>
                      <w:webHidden/>
                    </w:rPr>
                    <w:fldChar w:fldCharType="end"/>
                  </w:r>
                </w:hyperlink>
              </w:p>
              <w:p w14:paraId="2675956A" w14:textId="2E4317CC" w:rsidR="0096209A" w:rsidRDefault="00BB70AB">
                <w:pPr>
                  <w:pStyle w:val="TDC2"/>
                  <w:rPr>
                    <w:rFonts w:asciiTheme="minorHAnsi" w:eastAsiaTheme="minorEastAsia" w:hAnsiTheme="minorHAnsi" w:cstheme="minorBidi"/>
                    <w:noProof/>
                    <w:sz w:val="22"/>
                    <w:szCs w:val="22"/>
                    <w:lang w:val="es-SV" w:eastAsia="es-SV"/>
                  </w:rPr>
                </w:pPr>
                <w:hyperlink w:anchor="_Toc116389146" w:history="1">
                  <w:r w:rsidR="0096209A" w:rsidRPr="00C52F83">
                    <w:rPr>
                      <w:rStyle w:val="Hipervnculo"/>
                      <w:rFonts w:ascii="Museo Sans 300" w:hAnsi="Museo Sans 300"/>
                      <w:b/>
                      <w:noProof/>
                      <w:lang w:val="es-MX"/>
                    </w:rPr>
                    <w:t>5. ANEXOS</w:t>
                  </w:r>
                  <w:r w:rsidR="0096209A">
                    <w:rPr>
                      <w:noProof/>
                      <w:webHidden/>
                    </w:rPr>
                    <w:tab/>
                  </w:r>
                  <w:r w:rsidR="0096209A">
                    <w:rPr>
                      <w:noProof/>
                      <w:webHidden/>
                    </w:rPr>
                    <w:fldChar w:fldCharType="begin"/>
                  </w:r>
                  <w:r w:rsidR="0096209A">
                    <w:rPr>
                      <w:noProof/>
                      <w:webHidden/>
                    </w:rPr>
                    <w:instrText xml:space="preserve"> PAGEREF _Toc116389146 \h </w:instrText>
                  </w:r>
                  <w:r w:rsidR="0096209A">
                    <w:rPr>
                      <w:noProof/>
                      <w:webHidden/>
                    </w:rPr>
                  </w:r>
                  <w:r w:rsidR="0096209A">
                    <w:rPr>
                      <w:noProof/>
                      <w:webHidden/>
                    </w:rPr>
                    <w:fldChar w:fldCharType="separate"/>
                  </w:r>
                  <w:r w:rsidR="002225DF">
                    <w:rPr>
                      <w:noProof/>
                      <w:webHidden/>
                    </w:rPr>
                    <w:t>20</w:t>
                  </w:r>
                  <w:r w:rsidR="0096209A">
                    <w:rPr>
                      <w:noProof/>
                      <w:webHidden/>
                    </w:rPr>
                    <w:fldChar w:fldCharType="end"/>
                  </w:r>
                </w:hyperlink>
              </w:p>
              <w:p w14:paraId="07F1CC91" w14:textId="77777777" w:rsidR="006B1211" w:rsidRPr="009E5691" w:rsidRDefault="006B1211" w:rsidP="009E5691">
                <w:pPr>
                  <w:jc w:val="both"/>
                  <w:rPr>
                    <w:rFonts w:ascii="Museo Sans 300" w:hAnsi="Museo Sans 300"/>
                    <w:sz w:val="22"/>
                    <w:szCs w:val="22"/>
                    <w:lang w:val="es-MX"/>
                  </w:rPr>
                </w:pPr>
                <w:r w:rsidRPr="009E5691">
                  <w:rPr>
                    <w:rFonts w:ascii="Museo Sans 300" w:hAnsi="Museo Sans 300"/>
                    <w:sz w:val="22"/>
                    <w:szCs w:val="22"/>
                    <w:lang w:val="es-MX"/>
                  </w:rPr>
                  <w:fldChar w:fldCharType="end"/>
                </w:r>
              </w:p>
            </w:sdtContent>
          </w:sdt>
          <w:p w14:paraId="62418DF9" w14:textId="77777777" w:rsidR="006B1211" w:rsidRPr="009E5691" w:rsidRDefault="006B1211" w:rsidP="009E5691">
            <w:pPr>
              <w:jc w:val="both"/>
              <w:rPr>
                <w:rFonts w:ascii="Museo Sans 300" w:hAnsi="Museo Sans 300"/>
                <w:sz w:val="22"/>
                <w:szCs w:val="22"/>
                <w:lang w:val="es-MX"/>
              </w:rPr>
            </w:pPr>
          </w:p>
          <w:p w14:paraId="07F0653F" w14:textId="77777777" w:rsidR="006B1211" w:rsidRPr="009E5691" w:rsidRDefault="006B1211" w:rsidP="009E5691">
            <w:pPr>
              <w:jc w:val="both"/>
              <w:rPr>
                <w:rFonts w:ascii="Museo Sans 300" w:hAnsi="Museo Sans 300"/>
                <w:sz w:val="22"/>
                <w:szCs w:val="22"/>
                <w:lang w:val="es-MX"/>
              </w:rPr>
            </w:pPr>
          </w:p>
          <w:p w14:paraId="2C68E8EC" w14:textId="77777777" w:rsidR="006B1211" w:rsidRPr="009E5691" w:rsidRDefault="006B1211" w:rsidP="009E5691">
            <w:pPr>
              <w:jc w:val="both"/>
              <w:rPr>
                <w:rFonts w:ascii="Museo Sans 300" w:hAnsi="Museo Sans 300"/>
                <w:sz w:val="22"/>
                <w:szCs w:val="22"/>
                <w:lang w:val="es-MX"/>
              </w:rPr>
            </w:pPr>
          </w:p>
          <w:p w14:paraId="4FBC60B4" w14:textId="77777777" w:rsidR="000C08C9" w:rsidRPr="009E5691" w:rsidRDefault="000C08C9" w:rsidP="009E5691">
            <w:pPr>
              <w:jc w:val="both"/>
              <w:rPr>
                <w:rFonts w:ascii="Museo Sans 300" w:hAnsi="Museo Sans 300"/>
                <w:sz w:val="22"/>
                <w:szCs w:val="22"/>
                <w:lang w:val="es-MX"/>
              </w:rPr>
            </w:pPr>
          </w:p>
          <w:p w14:paraId="08D6B15C" w14:textId="77777777" w:rsidR="000C08C9" w:rsidRPr="009E5691" w:rsidRDefault="000C08C9" w:rsidP="009E5691">
            <w:pPr>
              <w:jc w:val="both"/>
              <w:rPr>
                <w:rFonts w:ascii="Museo Sans 300" w:hAnsi="Museo Sans 300"/>
                <w:sz w:val="22"/>
                <w:szCs w:val="22"/>
                <w:lang w:val="es-MX"/>
              </w:rPr>
            </w:pPr>
          </w:p>
          <w:p w14:paraId="2F5ED357" w14:textId="77777777" w:rsidR="000C08C9" w:rsidRPr="009E5691" w:rsidRDefault="000C08C9" w:rsidP="009E5691">
            <w:pPr>
              <w:jc w:val="both"/>
              <w:rPr>
                <w:rFonts w:ascii="Museo Sans 300" w:hAnsi="Museo Sans 300"/>
                <w:sz w:val="22"/>
                <w:szCs w:val="22"/>
                <w:lang w:val="es-MX"/>
              </w:rPr>
            </w:pPr>
          </w:p>
          <w:p w14:paraId="63DE7DEE" w14:textId="77777777" w:rsidR="000C08C9" w:rsidRPr="009E5691" w:rsidRDefault="000C08C9" w:rsidP="009E5691">
            <w:pPr>
              <w:jc w:val="both"/>
              <w:rPr>
                <w:rFonts w:ascii="Museo Sans 300" w:hAnsi="Museo Sans 300"/>
                <w:sz w:val="22"/>
                <w:szCs w:val="22"/>
                <w:lang w:val="es-MX"/>
              </w:rPr>
            </w:pPr>
          </w:p>
          <w:p w14:paraId="6991FEAE" w14:textId="77777777" w:rsidR="000C08C9" w:rsidRPr="009E5691" w:rsidRDefault="000C08C9" w:rsidP="009E5691">
            <w:pPr>
              <w:jc w:val="both"/>
              <w:rPr>
                <w:rFonts w:ascii="Museo Sans 300" w:hAnsi="Museo Sans 300"/>
                <w:sz w:val="22"/>
                <w:szCs w:val="22"/>
                <w:lang w:val="es-MX"/>
              </w:rPr>
            </w:pPr>
          </w:p>
          <w:p w14:paraId="20E456A5" w14:textId="77777777" w:rsidR="000C08C9" w:rsidRPr="009E5691" w:rsidRDefault="000C08C9" w:rsidP="009E5691">
            <w:pPr>
              <w:jc w:val="both"/>
              <w:rPr>
                <w:rFonts w:ascii="Museo Sans 300" w:hAnsi="Museo Sans 300"/>
                <w:sz w:val="22"/>
                <w:szCs w:val="22"/>
                <w:lang w:val="es-MX"/>
              </w:rPr>
            </w:pPr>
          </w:p>
          <w:p w14:paraId="72DCADF6" w14:textId="77777777" w:rsidR="007A50C2" w:rsidRPr="009E5691" w:rsidRDefault="007A50C2" w:rsidP="009E5691">
            <w:pPr>
              <w:jc w:val="both"/>
              <w:rPr>
                <w:rFonts w:ascii="Museo Sans 300" w:hAnsi="Museo Sans 300"/>
                <w:sz w:val="22"/>
                <w:szCs w:val="22"/>
                <w:lang w:val="es-MX"/>
              </w:rPr>
            </w:pPr>
          </w:p>
          <w:p w14:paraId="170AB526" w14:textId="77777777" w:rsidR="007A50C2" w:rsidRPr="009E5691" w:rsidRDefault="007A50C2" w:rsidP="009E5691">
            <w:pPr>
              <w:jc w:val="both"/>
              <w:rPr>
                <w:rFonts w:ascii="Museo Sans 300" w:hAnsi="Museo Sans 300"/>
                <w:sz w:val="22"/>
                <w:szCs w:val="22"/>
                <w:lang w:val="es-MX"/>
              </w:rPr>
            </w:pPr>
          </w:p>
          <w:p w14:paraId="10D4332C" w14:textId="77777777" w:rsidR="007A50C2" w:rsidRPr="009E5691" w:rsidRDefault="007A50C2" w:rsidP="009E5691">
            <w:pPr>
              <w:jc w:val="both"/>
              <w:rPr>
                <w:rFonts w:ascii="Museo Sans 300" w:hAnsi="Museo Sans 300"/>
                <w:sz w:val="22"/>
                <w:szCs w:val="22"/>
                <w:lang w:val="es-MX"/>
              </w:rPr>
            </w:pPr>
          </w:p>
          <w:p w14:paraId="37BBD396" w14:textId="77777777" w:rsidR="00085376" w:rsidRPr="009E5691" w:rsidRDefault="00085376" w:rsidP="009E5691">
            <w:pPr>
              <w:jc w:val="both"/>
              <w:rPr>
                <w:rFonts w:ascii="Museo Sans 300" w:hAnsi="Museo Sans 300"/>
                <w:sz w:val="22"/>
                <w:szCs w:val="22"/>
                <w:lang w:val="es-MX"/>
              </w:rPr>
            </w:pPr>
          </w:p>
          <w:p w14:paraId="3BB0E89A" w14:textId="77777777" w:rsidR="007A50C2" w:rsidRPr="009E5691" w:rsidRDefault="007A50C2" w:rsidP="009E5691">
            <w:pPr>
              <w:jc w:val="both"/>
              <w:rPr>
                <w:rFonts w:ascii="Museo Sans 300" w:hAnsi="Museo Sans 300"/>
                <w:sz w:val="22"/>
                <w:szCs w:val="22"/>
                <w:lang w:val="es-MX"/>
              </w:rPr>
            </w:pPr>
          </w:p>
          <w:p w14:paraId="0CD81DE3" w14:textId="77777777" w:rsidR="007A50C2" w:rsidRPr="009E5691" w:rsidRDefault="007A50C2" w:rsidP="009E5691">
            <w:pPr>
              <w:jc w:val="both"/>
              <w:rPr>
                <w:rFonts w:ascii="Museo Sans 300" w:hAnsi="Museo Sans 300"/>
                <w:sz w:val="22"/>
                <w:szCs w:val="22"/>
                <w:lang w:val="es-MX"/>
              </w:rPr>
            </w:pPr>
          </w:p>
          <w:p w14:paraId="59FF3AF2" w14:textId="77777777" w:rsidR="007A50C2" w:rsidRPr="009E5691" w:rsidRDefault="007A50C2" w:rsidP="009E5691">
            <w:pPr>
              <w:jc w:val="both"/>
              <w:rPr>
                <w:rFonts w:ascii="Museo Sans 300" w:hAnsi="Museo Sans 300"/>
                <w:sz w:val="22"/>
                <w:szCs w:val="22"/>
                <w:lang w:val="es-MX"/>
              </w:rPr>
            </w:pPr>
          </w:p>
          <w:p w14:paraId="2F853992" w14:textId="77777777" w:rsidR="007A50C2" w:rsidRPr="009E5691" w:rsidRDefault="007A50C2" w:rsidP="009E5691">
            <w:pPr>
              <w:jc w:val="both"/>
              <w:rPr>
                <w:rFonts w:ascii="Museo Sans 300" w:hAnsi="Museo Sans 300"/>
                <w:sz w:val="22"/>
                <w:szCs w:val="22"/>
                <w:lang w:val="es-MX"/>
              </w:rPr>
            </w:pPr>
          </w:p>
          <w:p w14:paraId="24FE5FD8" w14:textId="77777777" w:rsidR="007A50C2" w:rsidRPr="009E5691" w:rsidRDefault="007A50C2" w:rsidP="009E5691">
            <w:pPr>
              <w:jc w:val="both"/>
              <w:rPr>
                <w:rFonts w:ascii="Museo Sans 300" w:hAnsi="Museo Sans 300"/>
                <w:sz w:val="22"/>
                <w:szCs w:val="22"/>
                <w:lang w:val="es-MX"/>
              </w:rPr>
            </w:pPr>
          </w:p>
          <w:p w14:paraId="4DAFB816" w14:textId="77777777" w:rsidR="00593A7A" w:rsidRPr="009E5691" w:rsidRDefault="00593A7A" w:rsidP="009E5691">
            <w:pPr>
              <w:jc w:val="both"/>
              <w:rPr>
                <w:rFonts w:ascii="Museo Sans 300" w:hAnsi="Museo Sans 300"/>
                <w:sz w:val="22"/>
                <w:szCs w:val="22"/>
                <w:lang w:val="es-MX"/>
              </w:rPr>
            </w:pPr>
          </w:p>
          <w:p w14:paraId="6935FCEE" w14:textId="77777777" w:rsidR="007A50C2" w:rsidRPr="009E5691" w:rsidRDefault="007A50C2" w:rsidP="009E5691">
            <w:pPr>
              <w:jc w:val="both"/>
              <w:rPr>
                <w:rFonts w:ascii="Museo Sans 300" w:hAnsi="Museo Sans 300"/>
                <w:sz w:val="22"/>
                <w:szCs w:val="22"/>
                <w:lang w:val="es-MX"/>
              </w:rPr>
            </w:pPr>
          </w:p>
          <w:p w14:paraId="5735279A" w14:textId="77777777" w:rsidR="006B1211" w:rsidRPr="00CC22FD" w:rsidRDefault="006B1211" w:rsidP="00CC22FD">
            <w:pPr>
              <w:pStyle w:val="Ttulo2"/>
              <w:jc w:val="center"/>
              <w:rPr>
                <w:rFonts w:ascii="Museo Sans 300" w:hAnsi="Museo Sans 300"/>
                <w:sz w:val="24"/>
                <w:szCs w:val="24"/>
                <w:lang w:val="es-MX"/>
              </w:rPr>
            </w:pPr>
            <w:bookmarkStart w:id="6" w:name="_Toc56581203"/>
            <w:bookmarkStart w:id="7" w:name="_Toc116389128"/>
            <w:r w:rsidRPr="00CC22FD">
              <w:rPr>
                <w:rFonts w:ascii="Museo Sans 300" w:hAnsi="Museo Sans 300"/>
                <w:sz w:val="24"/>
                <w:szCs w:val="24"/>
                <w:lang w:val="es-MX"/>
              </w:rPr>
              <w:lastRenderedPageBreak/>
              <w:t>RESUMEN EJECUTIVO</w:t>
            </w:r>
            <w:bookmarkEnd w:id="6"/>
            <w:bookmarkEnd w:id="7"/>
          </w:p>
          <w:p w14:paraId="2D3D236D" w14:textId="77777777" w:rsidR="006B1211" w:rsidRPr="00CD1FD1" w:rsidRDefault="006B1211" w:rsidP="009E5691">
            <w:pPr>
              <w:jc w:val="both"/>
              <w:rPr>
                <w:rFonts w:ascii="Museo Sans 300" w:hAnsi="Museo Sans 300"/>
                <w:sz w:val="22"/>
                <w:szCs w:val="22"/>
                <w:lang w:val="es-MX"/>
              </w:rPr>
            </w:pPr>
          </w:p>
          <w:p w14:paraId="1D84D654" w14:textId="77777777" w:rsidR="006B1211" w:rsidRPr="003D4C8A" w:rsidRDefault="006B1211" w:rsidP="000D7396">
            <w:pPr>
              <w:pStyle w:val="Ttulo2"/>
              <w:rPr>
                <w:rFonts w:ascii="Museo Sans 300" w:hAnsi="Museo Sans 300"/>
                <w:sz w:val="24"/>
                <w:szCs w:val="24"/>
                <w:lang w:val="es-MX"/>
              </w:rPr>
            </w:pPr>
            <w:bookmarkStart w:id="8" w:name="_Toc116389129"/>
            <w:r w:rsidRPr="003D4C8A">
              <w:rPr>
                <w:rFonts w:ascii="Museo Sans 300" w:hAnsi="Museo Sans 300"/>
                <w:sz w:val="24"/>
                <w:szCs w:val="24"/>
                <w:lang w:val="es-MX"/>
              </w:rPr>
              <w:t xml:space="preserve">I.  La ejecución financiera del Sector Público No Financiero (SPNF) </w:t>
            </w:r>
            <w:r w:rsidR="00355D4B" w:rsidRPr="003D4C8A">
              <w:rPr>
                <w:rFonts w:ascii="Museo Sans 300" w:hAnsi="Museo Sans 300"/>
                <w:sz w:val="24"/>
                <w:szCs w:val="24"/>
                <w:lang w:val="es-MX"/>
              </w:rPr>
              <w:t xml:space="preserve">a </w:t>
            </w:r>
            <w:r w:rsidR="00C722FC" w:rsidRPr="003D4C8A">
              <w:rPr>
                <w:rFonts w:ascii="Museo Sans 300" w:hAnsi="Museo Sans 300"/>
                <w:sz w:val="24"/>
                <w:szCs w:val="24"/>
                <w:lang w:val="es-MX"/>
              </w:rPr>
              <w:t>junio</w:t>
            </w:r>
            <w:r w:rsidR="00355D4B" w:rsidRPr="003D4C8A">
              <w:rPr>
                <w:rFonts w:ascii="Museo Sans 300" w:hAnsi="Museo Sans 300"/>
                <w:sz w:val="24"/>
                <w:szCs w:val="24"/>
                <w:lang w:val="es-MX"/>
              </w:rPr>
              <w:t xml:space="preserve"> 2022</w:t>
            </w:r>
            <w:bookmarkEnd w:id="8"/>
            <w:r w:rsidRPr="003D4C8A">
              <w:rPr>
                <w:rFonts w:ascii="Museo Sans 300" w:hAnsi="Museo Sans 300"/>
                <w:sz w:val="24"/>
                <w:szCs w:val="24"/>
                <w:lang w:val="es-MX"/>
              </w:rPr>
              <w:t xml:space="preserve"> </w:t>
            </w:r>
          </w:p>
          <w:p w14:paraId="0C1F242B" w14:textId="77777777" w:rsidR="006B1211" w:rsidRPr="00CD1FD1" w:rsidRDefault="006B1211" w:rsidP="009E5691">
            <w:pPr>
              <w:jc w:val="both"/>
              <w:rPr>
                <w:rFonts w:ascii="Museo Sans 300" w:hAnsi="Museo Sans 300"/>
                <w:sz w:val="22"/>
                <w:szCs w:val="22"/>
                <w:lang w:val="es-MX"/>
              </w:rPr>
            </w:pPr>
          </w:p>
          <w:p w14:paraId="21BB3C52" w14:textId="77777777" w:rsidR="006B1211" w:rsidRPr="00CD1FD1" w:rsidRDefault="006B1211" w:rsidP="009E5691">
            <w:pPr>
              <w:jc w:val="both"/>
              <w:rPr>
                <w:rFonts w:ascii="Museo Sans 300" w:hAnsi="Museo Sans 300"/>
                <w:sz w:val="22"/>
                <w:szCs w:val="22"/>
                <w:lang w:val="es-MX"/>
              </w:rPr>
            </w:pPr>
          </w:p>
          <w:p w14:paraId="2705E032" w14:textId="77777777" w:rsidR="005E2F06" w:rsidRPr="00CD1FD1" w:rsidRDefault="005E2F06" w:rsidP="009E5691">
            <w:pPr>
              <w:jc w:val="both"/>
              <w:rPr>
                <w:rFonts w:ascii="Museo Sans 300" w:hAnsi="Museo Sans 300"/>
                <w:sz w:val="22"/>
                <w:szCs w:val="22"/>
                <w:lang w:val="es-MX"/>
              </w:rPr>
            </w:pPr>
            <w:r w:rsidRPr="00CD1FD1">
              <w:rPr>
                <w:rFonts w:ascii="Museo Sans 300" w:hAnsi="Museo Sans 300"/>
                <w:sz w:val="22"/>
                <w:szCs w:val="22"/>
                <w:lang w:val="es-MX"/>
              </w:rPr>
              <w:t xml:space="preserve">El Balance Fiscal del SPNF consolidado </w:t>
            </w:r>
            <w:r w:rsidR="00355D4B" w:rsidRPr="00CD1FD1">
              <w:rPr>
                <w:rFonts w:ascii="Museo Sans 300" w:hAnsi="Museo Sans 300"/>
                <w:sz w:val="22"/>
                <w:szCs w:val="22"/>
                <w:lang w:val="es-MX"/>
              </w:rPr>
              <w:t xml:space="preserve">al mes de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Pr="00CD1FD1">
              <w:rPr>
                <w:rFonts w:ascii="Museo Sans 300" w:hAnsi="Museo Sans 300"/>
                <w:sz w:val="22"/>
                <w:szCs w:val="22"/>
                <w:lang w:val="es-MX"/>
              </w:rPr>
              <w:t xml:space="preserve">, presenta un </w:t>
            </w:r>
            <w:r w:rsidR="00CA038A">
              <w:rPr>
                <w:rFonts w:ascii="Museo Sans 300" w:hAnsi="Museo Sans 300"/>
                <w:sz w:val="22"/>
                <w:szCs w:val="22"/>
                <w:lang w:val="es-MX"/>
              </w:rPr>
              <w:t>superávit</w:t>
            </w:r>
            <w:r w:rsidRPr="00CD1FD1">
              <w:rPr>
                <w:rFonts w:ascii="Museo Sans 300" w:hAnsi="Museo Sans 300"/>
                <w:sz w:val="22"/>
                <w:szCs w:val="22"/>
                <w:lang w:val="es-MX"/>
              </w:rPr>
              <w:t xml:space="preserve"> (sin pensiones) de $</w:t>
            </w:r>
            <w:r w:rsidR="007551CE">
              <w:rPr>
                <w:rFonts w:ascii="Museo Sans 300" w:hAnsi="Museo Sans 300"/>
                <w:sz w:val="22"/>
                <w:szCs w:val="22"/>
                <w:lang w:val="es-MX"/>
              </w:rPr>
              <w:t>85.9</w:t>
            </w:r>
            <w:r w:rsidRPr="00CD1FD1">
              <w:rPr>
                <w:rFonts w:ascii="Museo Sans 300" w:hAnsi="Museo Sans 300"/>
                <w:sz w:val="22"/>
                <w:szCs w:val="22"/>
                <w:lang w:val="es-MX"/>
              </w:rPr>
              <w:t xml:space="preserve"> millones, equivalente al </w:t>
            </w:r>
            <w:r w:rsidR="00355D4B" w:rsidRPr="00CD1FD1">
              <w:rPr>
                <w:rFonts w:ascii="Museo Sans 300" w:hAnsi="Museo Sans 300"/>
                <w:sz w:val="22"/>
                <w:szCs w:val="22"/>
                <w:lang w:val="es-MX"/>
              </w:rPr>
              <w:t>0.3</w:t>
            </w:r>
            <w:r w:rsidRPr="00CD1FD1">
              <w:rPr>
                <w:rFonts w:ascii="Museo Sans 300" w:hAnsi="Museo Sans 300"/>
                <w:sz w:val="22"/>
                <w:szCs w:val="22"/>
                <w:lang w:val="es-MX"/>
              </w:rPr>
              <w:t>% del PIB, con un</w:t>
            </w:r>
            <w:r w:rsidR="00355D4B" w:rsidRPr="00CD1FD1">
              <w:rPr>
                <w:rFonts w:ascii="Museo Sans 300" w:hAnsi="Museo Sans 300"/>
                <w:sz w:val="22"/>
                <w:szCs w:val="22"/>
                <w:lang w:val="es-MX"/>
              </w:rPr>
              <w:t>a</w:t>
            </w:r>
            <w:r w:rsidRPr="00CD1FD1">
              <w:rPr>
                <w:rFonts w:ascii="Museo Sans 300" w:hAnsi="Museo Sans 300"/>
                <w:sz w:val="22"/>
                <w:szCs w:val="22"/>
                <w:lang w:val="es-MX"/>
              </w:rPr>
              <w:t xml:space="preserve"> </w:t>
            </w:r>
            <w:r w:rsidR="00355D4B" w:rsidRPr="00CD1FD1">
              <w:rPr>
                <w:rFonts w:ascii="Museo Sans 300" w:hAnsi="Museo Sans 300"/>
                <w:sz w:val="22"/>
                <w:szCs w:val="22"/>
                <w:lang w:val="es-MX"/>
              </w:rPr>
              <w:t xml:space="preserve">mejora </w:t>
            </w:r>
            <w:r w:rsidRPr="00CD1FD1">
              <w:rPr>
                <w:rFonts w:ascii="Museo Sans 300" w:hAnsi="Museo Sans 300"/>
                <w:sz w:val="22"/>
                <w:szCs w:val="22"/>
                <w:lang w:val="es-MX"/>
              </w:rPr>
              <w:t xml:space="preserve">de </w:t>
            </w:r>
            <w:r w:rsidR="007551CE">
              <w:rPr>
                <w:rFonts w:ascii="Museo Sans 300" w:hAnsi="Museo Sans 300"/>
                <w:sz w:val="22"/>
                <w:szCs w:val="22"/>
                <w:lang w:val="es-MX"/>
              </w:rPr>
              <w:t>1</w:t>
            </w:r>
            <w:r w:rsidRPr="00CD1FD1">
              <w:rPr>
                <w:rFonts w:ascii="Museo Sans 300" w:hAnsi="Museo Sans 300"/>
                <w:sz w:val="22"/>
                <w:szCs w:val="22"/>
                <w:lang w:val="es-MX"/>
              </w:rPr>
              <w:t>.</w:t>
            </w:r>
            <w:r w:rsidR="00355D4B" w:rsidRPr="00CD1FD1">
              <w:rPr>
                <w:rFonts w:ascii="Museo Sans 300" w:hAnsi="Museo Sans 300"/>
                <w:sz w:val="22"/>
                <w:szCs w:val="22"/>
                <w:lang w:val="es-MX"/>
              </w:rPr>
              <w:t>6</w:t>
            </w:r>
            <w:r w:rsidRPr="00CD1FD1">
              <w:rPr>
                <w:rFonts w:ascii="Museo Sans 300" w:hAnsi="Museo Sans 300"/>
                <w:sz w:val="22"/>
                <w:szCs w:val="22"/>
                <w:lang w:val="es-MX"/>
              </w:rPr>
              <w:t xml:space="preserve"> puntos </w:t>
            </w:r>
            <w:r w:rsidR="00533792">
              <w:rPr>
                <w:rFonts w:ascii="Museo Sans 300" w:hAnsi="Museo Sans 300"/>
                <w:sz w:val="22"/>
                <w:szCs w:val="22"/>
                <w:lang w:val="es-MX"/>
              </w:rPr>
              <w:t xml:space="preserve">porcentuales </w:t>
            </w:r>
            <w:r w:rsidRPr="00CD1FD1">
              <w:rPr>
                <w:rFonts w:ascii="Museo Sans 300" w:hAnsi="Museo Sans 300"/>
                <w:sz w:val="22"/>
                <w:szCs w:val="22"/>
                <w:lang w:val="es-MX"/>
              </w:rPr>
              <w:t xml:space="preserve">del PIB en relación al resultado a </w:t>
            </w:r>
            <w:r w:rsidR="00C722FC">
              <w:rPr>
                <w:rFonts w:ascii="Museo Sans 300" w:hAnsi="Museo Sans 300"/>
                <w:sz w:val="22"/>
                <w:szCs w:val="22"/>
                <w:lang w:val="es-MX"/>
              </w:rPr>
              <w:t>junio</w:t>
            </w:r>
            <w:r w:rsidRPr="00CD1FD1">
              <w:rPr>
                <w:rFonts w:ascii="Museo Sans 300" w:hAnsi="Museo Sans 300"/>
                <w:sz w:val="22"/>
                <w:szCs w:val="22"/>
                <w:lang w:val="es-MX"/>
              </w:rPr>
              <w:t xml:space="preserve"> de </w:t>
            </w:r>
            <w:r w:rsidR="00581B7E" w:rsidRPr="00CD1FD1">
              <w:rPr>
                <w:rFonts w:ascii="Museo Sans 300" w:hAnsi="Museo Sans 300"/>
                <w:sz w:val="22"/>
                <w:szCs w:val="22"/>
                <w:lang w:val="es-MX"/>
              </w:rPr>
              <w:t>2021</w:t>
            </w:r>
            <w:r w:rsidRPr="00CD1FD1">
              <w:rPr>
                <w:rFonts w:ascii="Museo Sans 300" w:hAnsi="Museo Sans 300"/>
                <w:sz w:val="22"/>
                <w:szCs w:val="22"/>
                <w:lang w:val="es-MX"/>
              </w:rPr>
              <w:t>. Al incorporar el pago de las pensiones por $</w:t>
            </w:r>
            <w:r w:rsidR="007551CE">
              <w:rPr>
                <w:rFonts w:ascii="Museo Sans 300" w:hAnsi="Museo Sans 300"/>
                <w:sz w:val="22"/>
                <w:szCs w:val="22"/>
                <w:lang w:val="es-MX"/>
              </w:rPr>
              <w:t>147.1</w:t>
            </w:r>
            <w:r w:rsidRPr="00CD1FD1">
              <w:rPr>
                <w:rFonts w:ascii="Museo Sans 300" w:hAnsi="Museo Sans 300"/>
                <w:sz w:val="22"/>
                <w:szCs w:val="22"/>
                <w:lang w:val="es-MX"/>
              </w:rPr>
              <w:t xml:space="preserve"> millones, el </w:t>
            </w:r>
            <w:r w:rsidR="00CA038A">
              <w:rPr>
                <w:rFonts w:ascii="Museo Sans 300" w:hAnsi="Museo Sans 300"/>
                <w:sz w:val="22"/>
                <w:szCs w:val="22"/>
                <w:lang w:val="es-MX"/>
              </w:rPr>
              <w:t>superávit</w:t>
            </w:r>
            <w:r w:rsidR="007551CE">
              <w:rPr>
                <w:rFonts w:ascii="Museo Sans 300" w:hAnsi="Museo Sans 300"/>
                <w:sz w:val="22"/>
                <w:szCs w:val="22"/>
                <w:lang w:val="es-MX"/>
              </w:rPr>
              <w:t xml:space="preserve"> se convierte en déficit de -</w:t>
            </w:r>
            <w:r w:rsidR="00EB70BC">
              <w:rPr>
                <w:rFonts w:ascii="Museo Sans 300" w:hAnsi="Museo Sans 300"/>
                <w:sz w:val="22"/>
                <w:szCs w:val="22"/>
                <w:lang w:val="es-MX"/>
              </w:rPr>
              <w:t>$</w:t>
            </w:r>
            <w:r w:rsidR="007551CE">
              <w:rPr>
                <w:rFonts w:ascii="Museo Sans 300" w:hAnsi="Museo Sans 300"/>
                <w:sz w:val="22"/>
                <w:szCs w:val="22"/>
                <w:lang w:val="es-MX"/>
              </w:rPr>
              <w:t>61.3 millones</w:t>
            </w:r>
            <w:r w:rsidRPr="00CD1FD1">
              <w:rPr>
                <w:rFonts w:ascii="Museo Sans 300" w:hAnsi="Museo Sans 300"/>
                <w:sz w:val="22"/>
                <w:szCs w:val="22"/>
                <w:lang w:val="es-MX"/>
              </w:rPr>
              <w:t xml:space="preserve">, con </w:t>
            </w:r>
            <w:r w:rsidR="00660D4C" w:rsidRPr="00CD1FD1">
              <w:rPr>
                <w:rFonts w:ascii="Museo Sans 300" w:hAnsi="Museo Sans 300"/>
                <w:sz w:val="22"/>
                <w:szCs w:val="22"/>
                <w:lang w:val="es-MX"/>
              </w:rPr>
              <w:t>un</w:t>
            </w:r>
            <w:r w:rsidR="00DD0040" w:rsidRPr="00CD1FD1">
              <w:rPr>
                <w:rFonts w:ascii="Museo Sans 300" w:hAnsi="Museo Sans 300"/>
                <w:sz w:val="22"/>
                <w:szCs w:val="22"/>
                <w:lang w:val="es-MX"/>
              </w:rPr>
              <w:t>a mejora</w:t>
            </w:r>
            <w:r w:rsidR="00026278" w:rsidRPr="00CD1FD1">
              <w:rPr>
                <w:rFonts w:ascii="Museo Sans 300" w:hAnsi="Museo Sans 300"/>
                <w:sz w:val="22"/>
                <w:szCs w:val="22"/>
                <w:lang w:val="es-MX"/>
              </w:rPr>
              <w:t xml:space="preserve"> de $</w:t>
            </w:r>
            <w:r w:rsidR="007551CE">
              <w:rPr>
                <w:rFonts w:ascii="Museo Sans 300" w:hAnsi="Museo Sans 300"/>
                <w:sz w:val="22"/>
                <w:szCs w:val="22"/>
                <w:lang w:val="es-MX"/>
              </w:rPr>
              <w:t>454.3</w:t>
            </w:r>
            <w:r w:rsidR="00026278" w:rsidRPr="00CD1FD1">
              <w:rPr>
                <w:rFonts w:ascii="Museo Sans 300" w:hAnsi="Museo Sans 300"/>
                <w:sz w:val="22"/>
                <w:szCs w:val="22"/>
                <w:lang w:val="es-MX"/>
              </w:rPr>
              <w:t xml:space="preserve"> millones con </w:t>
            </w:r>
            <w:r w:rsidRPr="00CD1FD1">
              <w:rPr>
                <w:rFonts w:ascii="Museo Sans 300" w:hAnsi="Museo Sans 300"/>
                <w:sz w:val="22"/>
                <w:szCs w:val="22"/>
                <w:lang w:val="es-MX"/>
              </w:rPr>
              <w:t>respecto a</w:t>
            </w:r>
            <w:r w:rsidR="0031628B" w:rsidRPr="00CD1FD1">
              <w:rPr>
                <w:rFonts w:ascii="Museo Sans 300" w:hAnsi="Museo Sans 300"/>
                <w:sz w:val="22"/>
                <w:szCs w:val="22"/>
                <w:lang w:val="es-MX"/>
              </w:rPr>
              <w:t>l año anterior</w:t>
            </w:r>
            <w:r w:rsidRPr="00CD1FD1">
              <w:rPr>
                <w:rFonts w:ascii="Museo Sans 300" w:hAnsi="Museo Sans 300"/>
                <w:sz w:val="22"/>
                <w:szCs w:val="22"/>
                <w:lang w:val="es-MX"/>
              </w:rPr>
              <w:t>. En términos del PIB el déficit representa un -</w:t>
            </w:r>
            <w:r w:rsidR="00355D4B" w:rsidRPr="00CD1FD1">
              <w:rPr>
                <w:rFonts w:ascii="Museo Sans 300" w:hAnsi="Museo Sans 300"/>
                <w:sz w:val="22"/>
                <w:szCs w:val="22"/>
                <w:lang w:val="es-MX"/>
              </w:rPr>
              <w:t>0.</w:t>
            </w:r>
            <w:r w:rsidR="007551CE">
              <w:rPr>
                <w:rFonts w:ascii="Museo Sans 300" w:hAnsi="Museo Sans 300"/>
                <w:sz w:val="22"/>
                <w:szCs w:val="22"/>
                <w:lang w:val="es-MX"/>
              </w:rPr>
              <w:t>2</w:t>
            </w:r>
            <w:r w:rsidRPr="00CD1FD1">
              <w:rPr>
                <w:rFonts w:ascii="Museo Sans 300" w:hAnsi="Museo Sans 300"/>
                <w:sz w:val="22"/>
                <w:szCs w:val="22"/>
                <w:lang w:val="es-MX"/>
              </w:rPr>
              <w:t>%.</w:t>
            </w:r>
          </w:p>
          <w:p w14:paraId="27769FCE" w14:textId="77777777" w:rsidR="006B1211" w:rsidRPr="00CD1FD1" w:rsidRDefault="006B1211" w:rsidP="009E5691">
            <w:pPr>
              <w:jc w:val="both"/>
              <w:rPr>
                <w:rFonts w:ascii="Museo Sans 300" w:hAnsi="Museo Sans 300"/>
                <w:sz w:val="22"/>
                <w:szCs w:val="22"/>
                <w:lang w:val="es-MX"/>
              </w:rPr>
            </w:pPr>
          </w:p>
          <w:p w14:paraId="0CDD59D0" w14:textId="77777777" w:rsidR="006B1211" w:rsidRPr="00CD1FD1" w:rsidRDefault="006B1211" w:rsidP="009E5691">
            <w:pPr>
              <w:jc w:val="both"/>
              <w:rPr>
                <w:rFonts w:ascii="Museo Sans 300" w:hAnsi="Museo Sans 300"/>
                <w:sz w:val="22"/>
                <w:szCs w:val="22"/>
                <w:lang w:val="es-MX"/>
              </w:rPr>
            </w:pPr>
            <w:r w:rsidRPr="00CD1FD1">
              <w:rPr>
                <w:rFonts w:ascii="Museo Sans 300" w:hAnsi="Museo Sans 300"/>
                <w:sz w:val="22"/>
                <w:szCs w:val="22"/>
                <w:lang w:val="es-MX"/>
              </w:rPr>
              <w:t xml:space="preserve">El balance primario (con pensiones), obtuvo un </w:t>
            </w:r>
            <w:r w:rsidR="005E2F06" w:rsidRPr="00CD1FD1">
              <w:rPr>
                <w:rFonts w:ascii="Museo Sans 300" w:hAnsi="Museo Sans 300"/>
                <w:sz w:val="22"/>
                <w:szCs w:val="22"/>
                <w:lang w:val="es-MX"/>
              </w:rPr>
              <w:t>superávit</w:t>
            </w:r>
            <w:r w:rsidRPr="00CD1FD1">
              <w:rPr>
                <w:rFonts w:ascii="Museo Sans 300" w:hAnsi="Museo Sans 300"/>
                <w:sz w:val="22"/>
                <w:szCs w:val="22"/>
                <w:lang w:val="es-MX"/>
              </w:rPr>
              <w:t xml:space="preserve"> de $</w:t>
            </w:r>
            <w:r w:rsidR="007551CE">
              <w:rPr>
                <w:rFonts w:ascii="Museo Sans 300" w:hAnsi="Museo Sans 300"/>
                <w:sz w:val="22"/>
                <w:szCs w:val="22"/>
                <w:lang w:val="es-MX"/>
              </w:rPr>
              <w:t>676.7</w:t>
            </w:r>
            <w:r w:rsidRPr="00CD1FD1">
              <w:rPr>
                <w:rFonts w:ascii="Museo Sans 300" w:hAnsi="Museo Sans 300"/>
                <w:sz w:val="22"/>
                <w:szCs w:val="22"/>
                <w:lang w:val="es-MX"/>
              </w:rPr>
              <w:t xml:space="preserve"> millones, equivalente a </w:t>
            </w:r>
            <w:r w:rsidR="007551CE">
              <w:rPr>
                <w:rFonts w:ascii="Museo Sans 300" w:hAnsi="Museo Sans 300"/>
                <w:sz w:val="22"/>
                <w:szCs w:val="22"/>
                <w:lang w:val="es-MX"/>
              </w:rPr>
              <w:t>2.2</w:t>
            </w:r>
            <w:r w:rsidRPr="00CD1FD1">
              <w:rPr>
                <w:rFonts w:ascii="Museo Sans 300" w:hAnsi="Museo Sans 300"/>
                <w:sz w:val="22"/>
                <w:szCs w:val="22"/>
                <w:lang w:val="es-MX"/>
              </w:rPr>
              <w:t>% del PIB, gener</w:t>
            </w:r>
            <w:r w:rsidR="00533792">
              <w:rPr>
                <w:rFonts w:ascii="Museo Sans 300" w:hAnsi="Museo Sans 300"/>
                <w:sz w:val="22"/>
                <w:szCs w:val="22"/>
                <w:lang w:val="es-MX"/>
              </w:rPr>
              <w:t>ando</w:t>
            </w:r>
            <w:r w:rsidRPr="00CD1FD1">
              <w:rPr>
                <w:rFonts w:ascii="Museo Sans 300" w:hAnsi="Museo Sans 300"/>
                <w:sz w:val="22"/>
                <w:szCs w:val="22"/>
                <w:lang w:val="es-MX"/>
              </w:rPr>
              <w:t xml:space="preserve"> una </w:t>
            </w:r>
            <w:r w:rsidR="00355D4B" w:rsidRPr="00CD1FD1">
              <w:rPr>
                <w:rFonts w:ascii="Museo Sans 300" w:hAnsi="Museo Sans 300"/>
                <w:sz w:val="22"/>
                <w:szCs w:val="22"/>
                <w:lang w:val="es-MX"/>
              </w:rPr>
              <w:t>variación positiva de $</w:t>
            </w:r>
            <w:r w:rsidR="007551CE">
              <w:rPr>
                <w:rFonts w:ascii="Museo Sans 300" w:hAnsi="Museo Sans 300"/>
                <w:sz w:val="22"/>
                <w:szCs w:val="22"/>
                <w:lang w:val="es-MX"/>
              </w:rPr>
              <w:t>525.2</w:t>
            </w:r>
            <w:r w:rsidRPr="00CD1FD1">
              <w:rPr>
                <w:rFonts w:ascii="Museo Sans 300" w:hAnsi="Museo Sans 300"/>
                <w:sz w:val="22"/>
                <w:szCs w:val="22"/>
                <w:lang w:val="es-MX"/>
              </w:rPr>
              <w:t xml:space="preserve"> millones</w:t>
            </w:r>
            <w:r w:rsidR="00533792" w:rsidRPr="00CD1FD1">
              <w:rPr>
                <w:rFonts w:ascii="Museo Sans 300" w:hAnsi="Museo Sans 300"/>
                <w:sz w:val="22"/>
                <w:szCs w:val="22"/>
                <w:lang w:val="es-MX"/>
              </w:rPr>
              <w:t xml:space="preserve"> con respecto al resultado de 2021</w:t>
            </w:r>
            <w:r w:rsidRPr="00CD1FD1">
              <w:rPr>
                <w:rFonts w:ascii="Museo Sans 300" w:hAnsi="Museo Sans 300"/>
                <w:sz w:val="22"/>
                <w:szCs w:val="22"/>
                <w:lang w:val="es-MX"/>
              </w:rPr>
              <w:t xml:space="preserve">. </w:t>
            </w:r>
          </w:p>
          <w:p w14:paraId="22CB27FA" w14:textId="77777777" w:rsidR="006B1211" w:rsidRPr="00CD1FD1" w:rsidRDefault="006B1211" w:rsidP="009E5691">
            <w:pPr>
              <w:jc w:val="both"/>
              <w:rPr>
                <w:rFonts w:ascii="Museo Sans 300" w:hAnsi="Museo Sans 300"/>
                <w:sz w:val="22"/>
                <w:szCs w:val="22"/>
                <w:lang w:val="es-MX"/>
              </w:rPr>
            </w:pPr>
          </w:p>
          <w:p w14:paraId="66C96A20" w14:textId="77777777" w:rsidR="006615BE" w:rsidRPr="00CD1FD1" w:rsidRDefault="005E2F06" w:rsidP="009E5691">
            <w:pPr>
              <w:jc w:val="both"/>
              <w:rPr>
                <w:rFonts w:ascii="Museo Sans 300" w:hAnsi="Museo Sans 300"/>
                <w:sz w:val="22"/>
                <w:szCs w:val="22"/>
                <w:lang w:val="es-MX"/>
              </w:rPr>
            </w:pPr>
            <w:r w:rsidRPr="00CD1FD1">
              <w:rPr>
                <w:rFonts w:ascii="Museo Sans 300" w:hAnsi="Museo Sans 300"/>
                <w:sz w:val="22"/>
                <w:szCs w:val="22"/>
                <w:lang w:val="es-MX"/>
              </w:rPr>
              <w:t xml:space="preserve">Los ingresos totales </w:t>
            </w:r>
            <w:r w:rsidR="006A326C"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6A326C" w:rsidRPr="00CD1FD1">
              <w:rPr>
                <w:rFonts w:ascii="Museo Sans 300" w:hAnsi="Museo Sans 300"/>
                <w:sz w:val="22"/>
                <w:szCs w:val="22"/>
                <w:lang w:val="es-MX"/>
              </w:rPr>
              <w:t xml:space="preserve"> de 2022</w:t>
            </w:r>
            <w:r w:rsidRPr="00CD1FD1">
              <w:rPr>
                <w:rFonts w:ascii="Museo Sans 300" w:hAnsi="Museo Sans 300"/>
                <w:sz w:val="22"/>
                <w:szCs w:val="22"/>
                <w:lang w:val="es-MX"/>
              </w:rPr>
              <w:t xml:space="preserve"> registraron un valor de $</w:t>
            </w:r>
            <w:r w:rsidR="007551CE">
              <w:rPr>
                <w:rFonts w:ascii="Museo Sans 300" w:hAnsi="Museo Sans 300"/>
                <w:sz w:val="22"/>
                <w:szCs w:val="22"/>
                <w:lang w:val="es-MX"/>
              </w:rPr>
              <w:t>4</w:t>
            </w:r>
            <w:r w:rsidR="00EB70BC">
              <w:rPr>
                <w:rFonts w:ascii="Museo Sans 300" w:hAnsi="Museo Sans 300"/>
                <w:sz w:val="22"/>
                <w:szCs w:val="22"/>
                <w:lang w:val="es-MX"/>
              </w:rPr>
              <w:t>,</w:t>
            </w:r>
            <w:r w:rsidR="007551CE">
              <w:rPr>
                <w:rFonts w:ascii="Museo Sans 300" w:hAnsi="Museo Sans 300"/>
                <w:sz w:val="22"/>
                <w:szCs w:val="22"/>
                <w:lang w:val="es-MX"/>
              </w:rPr>
              <w:t>242.9</w:t>
            </w:r>
            <w:r w:rsidRPr="00CD1FD1">
              <w:rPr>
                <w:rFonts w:ascii="Museo Sans 300" w:hAnsi="Museo Sans 300"/>
                <w:sz w:val="22"/>
                <w:szCs w:val="22"/>
                <w:lang w:val="es-MX"/>
              </w:rPr>
              <w:t xml:space="preserve"> millones, mostrando un crecimiento </w:t>
            </w:r>
            <w:r w:rsidR="00533792">
              <w:rPr>
                <w:rFonts w:ascii="Museo Sans 300" w:hAnsi="Museo Sans 300"/>
                <w:sz w:val="22"/>
                <w:szCs w:val="22"/>
                <w:lang w:val="es-MX"/>
              </w:rPr>
              <w:t xml:space="preserve">anual </w:t>
            </w:r>
            <w:r w:rsidRPr="00CD1FD1">
              <w:rPr>
                <w:rFonts w:ascii="Museo Sans 300" w:hAnsi="Museo Sans 300"/>
                <w:sz w:val="22"/>
                <w:szCs w:val="22"/>
                <w:lang w:val="es-MX"/>
              </w:rPr>
              <w:t xml:space="preserve">de </w:t>
            </w:r>
            <w:r w:rsidR="007551CE">
              <w:rPr>
                <w:rFonts w:ascii="Museo Sans 300" w:hAnsi="Museo Sans 300"/>
                <w:sz w:val="22"/>
                <w:szCs w:val="22"/>
                <w:lang w:val="es-MX"/>
              </w:rPr>
              <w:t>18.1</w:t>
            </w:r>
            <w:r w:rsidR="00355D4B" w:rsidRPr="00CD1FD1">
              <w:rPr>
                <w:rFonts w:ascii="Museo Sans 300" w:hAnsi="Museo Sans 300"/>
                <w:sz w:val="22"/>
                <w:szCs w:val="22"/>
                <w:lang w:val="es-MX"/>
              </w:rPr>
              <w:t>%</w:t>
            </w:r>
            <w:r w:rsidRPr="00CD1FD1">
              <w:rPr>
                <w:rFonts w:ascii="Museo Sans 300" w:hAnsi="Museo Sans 300"/>
                <w:sz w:val="22"/>
                <w:szCs w:val="22"/>
                <w:lang w:val="es-MX"/>
              </w:rPr>
              <w:t>, equivalente a $</w:t>
            </w:r>
            <w:r w:rsidR="007551CE">
              <w:rPr>
                <w:rFonts w:ascii="Museo Sans 300" w:hAnsi="Museo Sans 300"/>
                <w:sz w:val="22"/>
                <w:szCs w:val="22"/>
                <w:lang w:val="es-MX"/>
              </w:rPr>
              <w:t>649.5</w:t>
            </w:r>
            <w:r w:rsidRPr="00CD1FD1">
              <w:rPr>
                <w:rFonts w:ascii="Museo Sans 300" w:hAnsi="Museo Sans 300"/>
                <w:sz w:val="22"/>
                <w:szCs w:val="22"/>
                <w:lang w:val="es-MX"/>
              </w:rPr>
              <w:t xml:space="preserve"> millones, originado principalmente por el aumento en el valor de los </w:t>
            </w:r>
            <w:r w:rsidR="0031628B" w:rsidRPr="00CD1FD1">
              <w:rPr>
                <w:rFonts w:ascii="Museo Sans 300" w:hAnsi="Museo Sans 300"/>
                <w:sz w:val="22"/>
                <w:szCs w:val="22"/>
                <w:lang w:val="es-MX"/>
              </w:rPr>
              <w:t>i</w:t>
            </w:r>
            <w:r w:rsidRPr="00CD1FD1">
              <w:rPr>
                <w:rFonts w:ascii="Museo Sans 300" w:hAnsi="Museo Sans 300"/>
                <w:sz w:val="22"/>
                <w:szCs w:val="22"/>
                <w:lang w:val="es-MX"/>
              </w:rPr>
              <w:t>ngresos corrientes de $</w:t>
            </w:r>
            <w:r w:rsidR="007551CE">
              <w:rPr>
                <w:rFonts w:ascii="Museo Sans 300" w:hAnsi="Museo Sans 300"/>
                <w:sz w:val="22"/>
                <w:szCs w:val="22"/>
                <w:lang w:val="es-MX"/>
              </w:rPr>
              <w:t>645.5</w:t>
            </w:r>
            <w:r w:rsidRPr="00CD1FD1">
              <w:rPr>
                <w:rFonts w:ascii="Museo Sans 300" w:hAnsi="Museo Sans 300"/>
                <w:sz w:val="22"/>
                <w:szCs w:val="22"/>
                <w:lang w:val="es-MX"/>
              </w:rPr>
              <w:t xml:space="preserve"> millones.</w:t>
            </w:r>
            <w:r w:rsidR="006615BE" w:rsidRPr="00CD1FD1">
              <w:rPr>
                <w:rFonts w:ascii="Museo Sans 300" w:hAnsi="Museo Sans 300"/>
                <w:sz w:val="22"/>
                <w:szCs w:val="22"/>
                <w:lang w:val="es-MX"/>
              </w:rPr>
              <w:t xml:space="preserve"> Los ingresos totales representaron un </w:t>
            </w:r>
            <w:r w:rsidR="007551CE">
              <w:rPr>
                <w:rFonts w:ascii="Museo Sans 300" w:hAnsi="Museo Sans 300"/>
                <w:sz w:val="22"/>
                <w:szCs w:val="22"/>
                <w:lang w:val="es-MX"/>
              </w:rPr>
              <w:t>13.6</w:t>
            </w:r>
            <w:r w:rsidR="006615BE" w:rsidRPr="00CD1FD1">
              <w:rPr>
                <w:rFonts w:ascii="Museo Sans 300" w:hAnsi="Museo Sans 300"/>
                <w:sz w:val="22"/>
                <w:szCs w:val="22"/>
                <w:lang w:val="es-MX"/>
              </w:rPr>
              <w:t>% del PIB.</w:t>
            </w:r>
          </w:p>
          <w:p w14:paraId="57F93254" w14:textId="77777777" w:rsidR="005E2F06" w:rsidRPr="00CD1FD1" w:rsidRDefault="005E2F06" w:rsidP="009E5691">
            <w:pPr>
              <w:jc w:val="both"/>
              <w:rPr>
                <w:rFonts w:ascii="Museo Sans 300" w:hAnsi="Museo Sans 300"/>
                <w:sz w:val="22"/>
                <w:szCs w:val="22"/>
                <w:lang w:val="es-MX"/>
              </w:rPr>
            </w:pPr>
          </w:p>
          <w:p w14:paraId="0E0C9F27" w14:textId="77777777" w:rsidR="006615BE" w:rsidRPr="00CD1FD1" w:rsidRDefault="006615BE" w:rsidP="009E5691">
            <w:pPr>
              <w:jc w:val="both"/>
              <w:rPr>
                <w:rFonts w:ascii="Museo Sans 300" w:hAnsi="Museo Sans 300"/>
                <w:sz w:val="22"/>
                <w:szCs w:val="22"/>
                <w:lang w:val="es-MX"/>
              </w:rPr>
            </w:pPr>
            <w:r w:rsidRPr="00CD1FD1">
              <w:rPr>
                <w:rFonts w:ascii="Museo Sans 300" w:hAnsi="Museo Sans 300"/>
                <w:sz w:val="22"/>
                <w:szCs w:val="22"/>
                <w:lang w:val="es-MX"/>
              </w:rPr>
              <w:t>La recaudación tributaria (incluyendo las contribuciones) alcanzó un monto de $</w:t>
            </w:r>
            <w:r w:rsidR="007551CE">
              <w:rPr>
                <w:rFonts w:ascii="Museo Sans 300" w:hAnsi="Museo Sans 300"/>
                <w:sz w:val="22"/>
                <w:szCs w:val="22"/>
                <w:lang w:val="es-MX"/>
              </w:rPr>
              <w:t>3,663.4</w:t>
            </w:r>
            <w:r w:rsidRPr="00CD1FD1">
              <w:rPr>
                <w:rFonts w:ascii="Museo Sans 300" w:hAnsi="Museo Sans 300"/>
                <w:sz w:val="22"/>
                <w:szCs w:val="22"/>
                <w:lang w:val="es-MX"/>
              </w:rPr>
              <w:t xml:space="preserve"> millones, incrementándose con respecto a </w:t>
            </w:r>
            <w:r w:rsidR="00581B7E" w:rsidRPr="00CD1FD1">
              <w:rPr>
                <w:rFonts w:ascii="Museo Sans 300" w:hAnsi="Museo Sans 300"/>
                <w:sz w:val="22"/>
                <w:szCs w:val="22"/>
                <w:lang w:val="es-MX"/>
              </w:rPr>
              <w:t>2021</w:t>
            </w:r>
            <w:r w:rsidRPr="00CD1FD1">
              <w:rPr>
                <w:rFonts w:ascii="Museo Sans 300" w:hAnsi="Museo Sans 300"/>
                <w:sz w:val="22"/>
                <w:szCs w:val="22"/>
                <w:lang w:val="es-MX"/>
              </w:rPr>
              <w:t xml:space="preserve"> en $</w:t>
            </w:r>
            <w:r w:rsidR="007551CE">
              <w:rPr>
                <w:rFonts w:ascii="Museo Sans 300" w:hAnsi="Museo Sans 300"/>
                <w:sz w:val="22"/>
                <w:szCs w:val="22"/>
                <w:lang w:val="es-MX"/>
              </w:rPr>
              <w:t>583.7</w:t>
            </w:r>
            <w:r w:rsidRPr="00CD1FD1">
              <w:rPr>
                <w:rFonts w:ascii="Museo Sans 300" w:hAnsi="Museo Sans 300"/>
                <w:sz w:val="22"/>
                <w:szCs w:val="22"/>
                <w:lang w:val="es-MX"/>
              </w:rPr>
              <w:t xml:space="preserve"> millones, representando una carga tributaria de </w:t>
            </w:r>
            <w:r w:rsidR="007551CE">
              <w:rPr>
                <w:rFonts w:ascii="Museo Sans 300" w:hAnsi="Museo Sans 300"/>
                <w:sz w:val="22"/>
                <w:szCs w:val="22"/>
                <w:lang w:val="es-MX"/>
              </w:rPr>
              <w:t>11.7</w:t>
            </w:r>
            <w:r w:rsidRPr="00CD1FD1">
              <w:rPr>
                <w:rFonts w:ascii="Museo Sans 300" w:hAnsi="Museo Sans 300"/>
                <w:sz w:val="22"/>
                <w:szCs w:val="22"/>
                <w:lang w:val="es-MX"/>
              </w:rPr>
              <w:t xml:space="preserve">% con relación al PIB, </w:t>
            </w:r>
            <w:r w:rsidR="00A269A6" w:rsidRPr="00CD1FD1">
              <w:rPr>
                <w:rFonts w:ascii="Museo Sans 300" w:hAnsi="Museo Sans 300"/>
                <w:sz w:val="22"/>
                <w:szCs w:val="22"/>
                <w:lang w:val="es-MX"/>
              </w:rPr>
              <w:t xml:space="preserve">superior en </w:t>
            </w:r>
            <w:r w:rsidR="007551CE">
              <w:rPr>
                <w:rFonts w:ascii="Museo Sans 300" w:hAnsi="Museo Sans 300"/>
                <w:sz w:val="22"/>
                <w:szCs w:val="22"/>
                <w:lang w:val="es-MX"/>
              </w:rPr>
              <w:t>1.0</w:t>
            </w:r>
            <w:r w:rsidR="00A269A6" w:rsidRPr="00CD1FD1">
              <w:rPr>
                <w:rFonts w:ascii="Museo Sans 300" w:hAnsi="Museo Sans 300"/>
                <w:sz w:val="22"/>
                <w:szCs w:val="22"/>
                <w:lang w:val="es-MX"/>
              </w:rPr>
              <w:t xml:space="preserve"> puntos porcentuales </w:t>
            </w:r>
            <w:r w:rsidRPr="00CD1FD1">
              <w:rPr>
                <w:rFonts w:ascii="Museo Sans 300" w:hAnsi="Museo Sans 300"/>
                <w:sz w:val="22"/>
                <w:szCs w:val="22"/>
                <w:lang w:val="es-MX"/>
              </w:rPr>
              <w:t xml:space="preserve">a la registrada a </w:t>
            </w:r>
            <w:r w:rsidR="00C722FC">
              <w:rPr>
                <w:rFonts w:ascii="Museo Sans 300" w:hAnsi="Museo Sans 300"/>
                <w:sz w:val="22"/>
                <w:szCs w:val="22"/>
                <w:lang w:val="es-MX"/>
              </w:rPr>
              <w:t>junio</w:t>
            </w:r>
            <w:r w:rsidRPr="00CD1FD1">
              <w:rPr>
                <w:rFonts w:ascii="Museo Sans 300" w:hAnsi="Museo Sans 300"/>
                <w:sz w:val="22"/>
                <w:szCs w:val="22"/>
                <w:lang w:val="es-MX"/>
              </w:rPr>
              <w:t xml:space="preserve"> de </w:t>
            </w:r>
            <w:r w:rsidR="00581B7E" w:rsidRPr="00CD1FD1">
              <w:rPr>
                <w:rFonts w:ascii="Museo Sans 300" w:hAnsi="Museo Sans 300"/>
                <w:sz w:val="22"/>
                <w:szCs w:val="22"/>
                <w:lang w:val="es-MX"/>
              </w:rPr>
              <w:t>2021</w:t>
            </w:r>
            <w:r w:rsidRPr="00CD1FD1">
              <w:rPr>
                <w:rFonts w:ascii="Museo Sans 300" w:hAnsi="Museo Sans 300"/>
                <w:sz w:val="22"/>
                <w:szCs w:val="22"/>
                <w:lang w:val="es-MX"/>
              </w:rPr>
              <w:t xml:space="preserve">. Por fuente específica, </w:t>
            </w:r>
            <w:r w:rsidR="006B616F" w:rsidRPr="00CD1FD1">
              <w:rPr>
                <w:rFonts w:ascii="Museo Sans 300" w:hAnsi="Museo Sans 300"/>
                <w:sz w:val="22"/>
                <w:szCs w:val="22"/>
                <w:lang w:val="es-MX"/>
              </w:rPr>
              <w:t>e</w:t>
            </w:r>
            <w:r w:rsidRPr="00CD1FD1">
              <w:rPr>
                <w:rFonts w:ascii="Museo Sans 300" w:hAnsi="Museo Sans 300"/>
                <w:sz w:val="22"/>
                <w:szCs w:val="22"/>
                <w:lang w:val="es-MX"/>
              </w:rPr>
              <w:t>l Impuesto al Valor Agregado registró un flujo acumulado de $</w:t>
            </w:r>
            <w:r w:rsidR="00604C26">
              <w:rPr>
                <w:rFonts w:ascii="Museo Sans 300" w:hAnsi="Museo Sans 300"/>
                <w:sz w:val="22"/>
                <w:szCs w:val="22"/>
                <w:lang w:val="es-MX"/>
              </w:rPr>
              <w:t>1,564.7</w:t>
            </w:r>
            <w:r w:rsidRPr="00CD1FD1">
              <w:rPr>
                <w:rFonts w:ascii="Museo Sans 300" w:hAnsi="Museo Sans 300"/>
                <w:sz w:val="22"/>
                <w:szCs w:val="22"/>
                <w:lang w:val="es-MX"/>
              </w:rPr>
              <w:t xml:space="preserve"> millones lo que representa un incremento de </w:t>
            </w:r>
            <w:r w:rsidR="00604C26">
              <w:rPr>
                <w:rFonts w:ascii="Museo Sans 300" w:hAnsi="Museo Sans 300"/>
                <w:sz w:val="22"/>
                <w:szCs w:val="22"/>
                <w:lang w:val="es-MX"/>
              </w:rPr>
              <w:t>15.3</w:t>
            </w:r>
            <w:r w:rsidRPr="00CD1FD1">
              <w:rPr>
                <w:rFonts w:ascii="Museo Sans 300" w:hAnsi="Museo Sans 300"/>
                <w:sz w:val="22"/>
                <w:szCs w:val="22"/>
                <w:lang w:val="es-MX"/>
              </w:rPr>
              <w:t xml:space="preserve">% con respecto a </w:t>
            </w:r>
            <w:r w:rsidR="00581B7E" w:rsidRPr="00CD1FD1">
              <w:rPr>
                <w:rFonts w:ascii="Museo Sans 300" w:hAnsi="Museo Sans 300"/>
                <w:sz w:val="22"/>
                <w:szCs w:val="22"/>
                <w:lang w:val="es-MX"/>
              </w:rPr>
              <w:t>2021</w:t>
            </w:r>
            <w:r w:rsidRPr="00CD1FD1">
              <w:rPr>
                <w:rFonts w:ascii="Museo Sans 300" w:hAnsi="Museo Sans 300"/>
                <w:sz w:val="22"/>
                <w:szCs w:val="22"/>
                <w:lang w:val="es-MX"/>
              </w:rPr>
              <w:t>. El Impuesto sobre la Renta alcanzó un valor recaudado de $</w:t>
            </w:r>
            <w:r w:rsidR="00604C26">
              <w:rPr>
                <w:rFonts w:ascii="Museo Sans 300" w:hAnsi="Museo Sans 300"/>
                <w:sz w:val="22"/>
                <w:szCs w:val="22"/>
                <w:lang w:val="es-MX"/>
              </w:rPr>
              <w:t>1</w:t>
            </w:r>
            <w:r w:rsidR="000C7ECF">
              <w:rPr>
                <w:rFonts w:ascii="Museo Sans 300" w:hAnsi="Museo Sans 300"/>
                <w:sz w:val="22"/>
                <w:szCs w:val="22"/>
                <w:lang w:val="es-MX"/>
              </w:rPr>
              <w:t>,</w:t>
            </w:r>
            <w:r w:rsidR="00604C26">
              <w:rPr>
                <w:rFonts w:ascii="Museo Sans 300" w:hAnsi="Museo Sans 300"/>
                <w:sz w:val="22"/>
                <w:szCs w:val="22"/>
                <w:lang w:val="es-MX"/>
              </w:rPr>
              <w:t>718.6</w:t>
            </w:r>
            <w:r w:rsidRPr="00CD1FD1">
              <w:rPr>
                <w:rFonts w:ascii="Museo Sans 300" w:hAnsi="Museo Sans 300"/>
                <w:sz w:val="22"/>
                <w:szCs w:val="22"/>
                <w:lang w:val="es-MX"/>
              </w:rPr>
              <w:t xml:space="preserve"> millones, observándose un incremento </w:t>
            </w:r>
            <w:r w:rsidR="0031628B" w:rsidRPr="00CD1FD1">
              <w:rPr>
                <w:rFonts w:ascii="Museo Sans 300" w:hAnsi="Museo Sans 300"/>
                <w:sz w:val="22"/>
                <w:szCs w:val="22"/>
                <w:lang w:val="es-MX"/>
              </w:rPr>
              <w:t xml:space="preserve">de </w:t>
            </w:r>
            <w:r w:rsidR="00A269A6" w:rsidRPr="00CD1FD1">
              <w:rPr>
                <w:rFonts w:ascii="Museo Sans 300" w:hAnsi="Museo Sans 300"/>
                <w:sz w:val="22"/>
                <w:szCs w:val="22"/>
                <w:lang w:val="es-MX"/>
              </w:rPr>
              <w:t>3</w:t>
            </w:r>
            <w:r w:rsidR="00604C26">
              <w:rPr>
                <w:rFonts w:ascii="Museo Sans 300" w:hAnsi="Museo Sans 300"/>
                <w:sz w:val="22"/>
                <w:szCs w:val="22"/>
                <w:lang w:val="es-MX"/>
              </w:rPr>
              <w:t>2.4</w:t>
            </w:r>
            <w:r w:rsidR="0031628B"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con respecto al </w:t>
            </w:r>
            <w:r w:rsidR="00026278" w:rsidRPr="00CD1FD1">
              <w:rPr>
                <w:rFonts w:ascii="Museo Sans 300" w:hAnsi="Museo Sans 300"/>
                <w:sz w:val="22"/>
                <w:szCs w:val="22"/>
                <w:lang w:val="es-MX"/>
              </w:rPr>
              <w:t xml:space="preserve">mismo período del </w:t>
            </w:r>
            <w:r w:rsidRPr="00CD1FD1">
              <w:rPr>
                <w:rFonts w:ascii="Museo Sans 300" w:hAnsi="Museo Sans 300"/>
                <w:sz w:val="22"/>
                <w:szCs w:val="22"/>
                <w:lang w:val="es-MX"/>
              </w:rPr>
              <w:t>año anterior. La recaudación por Derechos Arancelarios a la Importación de Bienes registró un total de $</w:t>
            </w:r>
            <w:r w:rsidR="00604C26">
              <w:rPr>
                <w:rFonts w:ascii="Museo Sans 300" w:hAnsi="Museo Sans 300"/>
                <w:sz w:val="22"/>
                <w:szCs w:val="22"/>
                <w:lang w:val="es-MX"/>
              </w:rPr>
              <w:t>152.1</w:t>
            </w:r>
            <w:r w:rsidR="00A269A6"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millones, </w:t>
            </w:r>
            <w:r w:rsidR="0031628B" w:rsidRPr="00CD1FD1">
              <w:rPr>
                <w:rFonts w:ascii="Museo Sans 300" w:hAnsi="Museo Sans 300"/>
                <w:sz w:val="22"/>
                <w:szCs w:val="22"/>
                <w:lang w:val="es-MX"/>
              </w:rPr>
              <w:t xml:space="preserve">con </w:t>
            </w:r>
            <w:r w:rsidRPr="00CD1FD1">
              <w:rPr>
                <w:rFonts w:ascii="Museo Sans 300" w:hAnsi="Museo Sans 300"/>
                <w:sz w:val="22"/>
                <w:szCs w:val="22"/>
                <w:lang w:val="es-MX"/>
              </w:rPr>
              <w:t>un incremento de $1</w:t>
            </w:r>
            <w:r w:rsidR="00604C26">
              <w:rPr>
                <w:rFonts w:ascii="Museo Sans 300" w:hAnsi="Museo Sans 300"/>
                <w:sz w:val="22"/>
                <w:szCs w:val="22"/>
                <w:lang w:val="es-MX"/>
              </w:rPr>
              <w:t>9.9</w:t>
            </w:r>
            <w:r w:rsidRPr="00CD1FD1">
              <w:rPr>
                <w:rFonts w:ascii="Museo Sans 300" w:hAnsi="Museo Sans 300"/>
                <w:sz w:val="22"/>
                <w:szCs w:val="22"/>
                <w:lang w:val="es-MX"/>
              </w:rPr>
              <w:t xml:space="preserve"> millones con respecto a </w:t>
            </w:r>
            <w:r w:rsidR="00581B7E" w:rsidRPr="00CD1FD1">
              <w:rPr>
                <w:rFonts w:ascii="Museo Sans 300" w:hAnsi="Museo Sans 300"/>
                <w:sz w:val="22"/>
                <w:szCs w:val="22"/>
                <w:lang w:val="es-MX"/>
              </w:rPr>
              <w:t>2021</w:t>
            </w:r>
            <w:r w:rsidRPr="00CD1FD1">
              <w:rPr>
                <w:rFonts w:ascii="Museo Sans 300" w:hAnsi="Museo Sans 300"/>
                <w:sz w:val="22"/>
                <w:szCs w:val="22"/>
                <w:lang w:val="es-MX"/>
              </w:rPr>
              <w:t xml:space="preserve">, esta recuperación está asociada al incremento observado en las importaciones de bienes </w:t>
            </w:r>
            <w:r w:rsidRPr="009E5691">
              <w:rPr>
                <w:rFonts w:ascii="Museo Sans 300" w:hAnsi="Museo Sans 300"/>
                <w:sz w:val="22"/>
                <w:szCs w:val="22"/>
                <w:lang w:val="es-MX"/>
              </w:rPr>
              <w:t>de 2</w:t>
            </w:r>
            <w:r w:rsidR="00694F2F" w:rsidRPr="009E5691">
              <w:rPr>
                <w:rFonts w:ascii="Museo Sans 300" w:hAnsi="Museo Sans 300"/>
                <w:sz w:val="22"/>
                <w:szCs w:val="22"/>
                <w:lang w:val="es-MX"/>
              </w:rPr>
              <w:t>9.6</w:t>
            </w:r>
            <w:r w:rsidRPr="009E5691">
              <w:rPr>
                <w:rFonts w:ascii="Museo Sans 300" w:hAnsi="Museo Sans 300"/>
                <w:sz w:val="22"/>
                <w:szCs w:val="22"/>
                <w:lang w:val="es-MX"/>
              </w:rPr>
              <w:t>%.</w:t>
            </w:r>
            <w:r w:rsidRPr="00CD1FD1">
              <w:rPr>
                <w:rFonts w:ascii="Museo Sans 300" w:hAnsi="Museo Sans 300"/>
                <w:sz w:val="22"/>
                <w:szCs w:val="22"/>
                <w:lang w:val="es-MX"/>
              </w:rPr>
              <w:t xml:space="preserve"> </w:t>
            </w:r>
          </w:p>
          <w:p w14:paraId="15425E75" w14:textId="77777777" w:rsidR="006615BE" w:rsidRPr="00CD1FD1" w:rsidRDefault="006615BE" w:rsidP="009E5691">
            <w:pPr>
              <w:jc w:val="both"/>
              <w:rPr>
                <w:rFonts w:ascii="Museo Sans 300" w:hAnsi="Museo Sans 300"/>
                <w:sz w:val="22"/>
                <w:szCs w:val="22"/>
                <w:lang w:val="es-MX"/>
              </w:rPr>
            </w:pPr>
          </w:p>
          <w:p w14:paraId="2E2E6654" w14:textId="77777777" w:rsidR="00E36BBA" w:rsidRPr="00CD1FD1" w:rsidRDefault="00E36BBA" w:rsidP="009E5691">
            <w:pPr>
              <w:jc w:val="both"/>
              <w:rPr>
                <w:rFonts w:ascii="Museo Sans 300" w:hAnsi="Museo Sans 300"/>
                <w:sz w:val="22"/>
                <w:szCs w:val="22"/>
                <w:lang w:val="es-MX"/>
              </w:rPr>
            </w:pPr>
            <w:r w:rsidRPr="00CD1FD1">
              <w:rPr>
                <w:rFonts w:ascii="Museo Sans 300" w:hAnsi="Museo Sans 300"/>
                <w:sz w:val="22"/>
                <w:szCs w:val="22"/>
                <w:lang w:val="es-MX"/>
              </w:rPr>
              <w:t>Los ingresos no tributarios a nivel de SPNF registraron un monto de $</w:t>
            </w:r>
            <w:r w:rsidR="00604C26">
              <w:rPr>
                <w:rFonts w:ascii="Museo Sans 300" w:hAnsi="Museo Sans 300"/>
                <w:sz w:val="22"/>
                <w:szCs w:val="22"/>
                <w:lang w:val="es-MX"/>
              </w:rPr>
              <w:t>505.6</w:t>
            </w:r>
            <w:r w:rsidRPr="00CD1FD1">
              <w:rPr>
                <w:rFonts w:ascii="Museo Sans 300" w:hAnsi="Museo Sans 300"/>
                <w:sz w:val="22"/>
                <w:szCs w:val="22"/>
                <w:lang w:val="es-MX"/>
              </w:rPr>
              <w:t xml:space="preserve"> millones, experimentando un crecimiento de $</w:t>
            </w:r>
            <w:r w:rsidR="00604C26">
              <w:rPr>
                <w:rFonts w:ascii="Museo Sans 300" w:hAnsi="Museo Sans 300"/>
                <w:sz w:val="22"/>
                <w:szCs w:val="22"/>
                <w:lang w:val="es-MX"/>
              </w:rPr>
              <w:t>46.2</w:t>
            </w:r>
            <w:r w:rsidRPr="00CD1FD1">
              <w:rPr>
                <w:rFonts w:ascii="Museo Sans 300" w:hAnsi="Museo Sans 300"/>
                <w:sz w:val="22"/>
                <w:szCs w:val="22"/>
                <w:lang w:val="es-MX"/>
              </w:rPr>
              <w:t xml:space="preserve"> millones con relación al mes de </w:t>
            </w:r>
            <w:r w:rsidR="00C722FC">
              <w:rPr>
                <w:rFonts w:ascii="Museo Sans 300" w:hAnsi="Museo Sans 300"/>
                <w:sz w:val="22"/>
                <w:szCs w:val="22"/>
                <w:lang w:val="es-MX"/>
              </w:rPr>
              <w:t>junio</w:t>
            </w:r>
            <w:r w:rsidRPr="00CD1FD1">
              <w:rPr>
                <w:rFonts w:ascii="Museo Sans 300" w:hAnsi="Museo Sans 300"/>
                <w:sz w:val="22"/>
                <w:szCs w:val="22"/>
                <w:lang w:val="es-MX"/>
              </w:rPr>
              <w:t xml:space="preserve"> </w:t>
            </w:r>
            <w:r w:rsidR="00581B7E" w:rsidRPr="00CD1FD1">
              <w:rPr>
                <w:rFonts w:ascii="Museo Sans 300" w:hAnsi="Museo Sans 300"/>
                <w:sz w:val="22"/>
                <w:szCs w:val="22"/>
                <w:lang w:val="es-MX"/>
              </w:rPr>
              <w:t>2021</w:t>
            </w:r>
            <w:r w:rsidRPr="00CD1FD1">
              <w:rPr>
                <w:rFonts w:ascii="Museo Sans 300" w:hAnsi="Museo Sans 300"/>
                <w:sz w:val="22"/>
                <w:szCs w:val="22"/>
                <w:lang w:val="es-MX"/>
              </w:rPr>
              <w:t>.</w:t>
            </w:r>
          </w:p>
          <w:p w14:paraId="4518645B" w14:textId="77777777" w:rsidR="00E36BBA" w:rsidRPr="009E5691" w:rsidRDefault="00E36BBA" w:rsidP="009E5691">
            <w:pPr>
              <w:jc w:val="both"/>
              <w:rPr>
                <w:rFonts w:ascii="Museo Sans 300" w:hAnsi="Museo Sans 300"/>
                <w:sz w:val="22"/>
                <w:szCs w:val="22"/>
                <w:lang w:val="es-MX"/>
              </w:rPr>
            </w:pPr>
          </w:p>
          <w:p w14:paraId="53CEC79B" w14:textId="77777777" w:rsidR="00E36BBA" w:rsidRPr="00CD1FD1" w:rsidRDefault="00E36BBA" w:rsidP="009E5691">
            <w:pPr>
              <w:jc w:val="both"/>
              <w:rPr>
                <w:rFonts w:ascii="Museo Sans 300" w:hAnsi="Museo Sans 300"/>
                <w:sz w:val="22"/>
                <w:szCs w:val="22"/>
                <w:lang w:val="es-MX"/>
              </w:rPr>
            </w:pPr>
            <w:r w:rsidRPr="00CD1FD1">
              <w:rPr>
                <w:rFonts w:ascii="Museo Sans 300" w:hAnsi="Museo Sans 300"/>
                <w:sz w:val="22"/>
                <w:szCs w:val="22"/>
                <w:lang w:val="es-MX"/>
              </w:rPr>
              <w:t xml:space="preserve">La ejecución del gasto total del SPNF </w:t>
            </w:r>
            <w:r w:rsidR="00355D4B" w:rsidRPr="00CD1FD1">
              <w:rPr>
                <w:rFonts w:ascii="Museo Sans 300" w:hAnsi="Museo Sans 300"/>
                <w:sz w:val="22"/>
                <w:szCs w:val="22"/>
                <w:lang w:val="es-MX"/>
              </w:rPr>
              <w:t xml:space="preserve">al mes de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Pr="00CD1FD1">
              <w:rPr>
                <w:rFonts w:ascii="Museo Sans 300" w:hAnsi="Museo Sans 300"/>
                <w:sz w:val="22"/>
                <w:szCs w:val="22"/>
                <w:lang w:val="es-MX"/>
              </w:rPr>
              <w:t xml:space="preserve"> ascendió a $</w:t>
            </w:r>
            <w:r w:rsidR="00604C26">
              <w:rPr>
                <w:rFonts w:ascii="Museo Sans 300" w:hAnsi="Museo Sans 300"/>
                <w:sz w:val="22"/>
                <w:szCs w:val="22"/>
                <w:lang w:val="es-MX"/>
              </w:rPr>
              <w:t>4,157.0</w:t>
            </w:r>
            <w:r w:rsidRPr="00CD1FD1">
              <w:rPr>
                <w:rFonts w:ascii="Museo Sans 300" w:hAnsi="Museo Sans 300"/>
                <w:sz w:val="22"/>
                <w:szCs w:val="22"/>
                <w:lang w:val="es-MX"/>
              </w:rPr>
              <w:t xml:space="preserve"> millones, con un incremento de $1</w:t>
            </w:r>
            <w:r w:rsidR="00A269A6" w:rsidRPr="00CD1FD1">
              <w:rPr>
                <w:rFonts w:ascii="Museo Sans 300" w:hAnsi="Museo Sans 300"/>
                <w:sz w:val="22"/>
                <w:szCs w:val="22"/>
                <w:lang w:val="es-MX"/>
              </w:rPr>
              <w:t>8</w:t>
            </w:r>
            <w:r w:rsidR="00604C26">
              <w:rPr>
                <w:rFonts w:ascii="Museo Sans 300" w:hAnsi="Museo Sans 300"/>
                <w:sz w:val="22"/>
                <w:szCs w:val="22"/>
                <w:lang w:val="es-MX"/>
              </w:rPr>
              <w:t>0.3</w:t>
            </w:r>
            <w:r w:rsidRPr="00CD1FD1">
              <w:rPr>
                <w:rFonts w:ascii="Museo Sans 300" w:hAnsi="Museo Sans 300"/>
                <w:sz w:val="22"/>
                <w:szCs w:val="22"/>
                <w:lang w:val="es-MX"/>
              </w:rPr>
              <w:t xml:space="preserve"> millones con respecto al año anterior. </w:t>
            </w:r>
          </w:p>
          <w:p w14:paraId="3ECC6943" w14:textId="77777777" w:rsidR="00E36BBA" w:rsidRPr="00CD1FD1" w:rsidRDefault="00E36BBA" w:rsidP="009E5691">
            <w:pPr>
              <w:jc w:val="both"/>
              <w:rPr>
                <w:rFonts w:ascii="Museo Sans 300" w:hAnsi="Museo Sans 300"/>
                <w:sz w:val="22"/>
                <w:szCs w:val="22"/>
                <w:lang w:val="es-MX"/>
              </w:rPr>
            </w:pPr>
          </w:p>
          <w:p w14:paraId="42EF1505" w14:textId="77777777" w:rsidR="00A3121E" w:rsidRPr="00CD1FD1" w:rsidRDefault="00E36BBA" w:rsidP="009E5691">
            <w:pPr>
              <w:jc w:val="both"/>
              <w:rPr>
                <w:rFonts w:ascii="Museo Sans 300" w:hAnsi="Museo Sans 300"/>
                <w:sz w:val="22"/>
                <w:szCs w:val="22"/>
                <w:lang w:val="es-MX"/>
              </w:rPr>
            </w:pPr>
            <w:r w:rsidRPr="00CD1FD1">
              <w:rPr>
                <w:rFonts w:ascii="Museo Sans 300" w:hAnsi="Museo Sans 300"/>
                <w:sz w:val="22"/>
                <w:szCs w:val="22"/>
                <w:lang w:val="es-MX"/>
              </w:rPr>
              <w:t>Los gastos corrientes del SPNF registraron un monto de $</w:t>
            </w:r>
            <w:r w:rsidR="00604C26">
              <w:rPr>
                <w:rFonts w:ascii="Museo Sans 300" w:hAnsi="Museo Sans 300"/>
                <w:sz w:val="22"/>
                <w:szCs w:val="22"/>
                <w:lang w:val="es-MX"/>
              </w:rPr>
              <w:t>3,741.8</w:t>
            </w:r>
            <w:r w:rsidRPr="00CD1FD1">
              <w:rPr>
                <w:rFonts w:ascii="Museo Sans 300" w:hAnsi="Museo Sans 300"/>
                <w:sz w:val="22"/>
                <w:szCs w:val="22"/>
                <w:lang w:val="es-MX"/>
              </w:rPr>
              <w:t xml:space="preserve"> millones, mostrando un crecimiento de </w:t>
            </w:r>
            <w:r w:rsidR="00604C26">
              <w:rPr>
                <w:rFonts w:ascii="Museo Sans 300" w:hAnsi="Museo Sans 300"/>
                <w:sz w:val="22"/>
                <w:szCs w:val="22"/>
                <w:lang w:val="es-MX"/>
              </w:rPr>
              <w:t>4.8</w:t>
            </w:r>
            <w:r w:rsidRPr="00CD1FD1">
              <w:rPr>
                <w:rFonts w:ascii="Museo Sans 300" w:hAnsi="Museo Sans 300"/>
                <w:sz w:val="22"/>
                <w:szCs w:val="22"/>
                <w:lang w:val="es-MX"/>
              </w:rPr>
              <w:t xml:space="preserve">%, reflejado en todos los rubros que lo conforman. </w:t>
            </w:r>
            <w:r w:rsidR="00A3121E" w:rsidRPr="00CD1FD1">
              <w:rPr>
                <w:rFonts w:ascii="Museo Sans 300" w:hAnsi="Museo Sans 300"/>
                <w:sz w:val="22"/>
                <w:szCs w:val="22"/>
                <w:lang w:val="es-MX"/>
              </w:rPr>
              <w:t xml:space="preserve">Los gastos de capital del SPNF </w:t>
            </w:r>
            <w:r w:rsidR="00355D4B" w:rsidRPr="00CD1FD1">
              <w:rPr>
                <w:rFonts w:ascii="Museo Sans 300" w:hAnsi="Museo Sans 300"/>
                <w:sz w:val="22"/>
                <w:szCs w:val="22"/>
                <w:lang w:val="es-MX"/>
              </w:rPr>
              <w:t xml:space="preserve">al mes de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00A3121E" w:rsidRPr="00CD1FD1">
              <w:rPr>
                <w:rFonts w:ascii="Museo Sans 300" w:hAnsi="Museo Sans 300"/>
                <w:sz w:val="22"/>
                <w:szCs w:val="22"/>
                <w:lang w:val="es-MX"/>
              </w:rPr>
              <w:t xml:space="preserve"> alcanzaron un monto de $</w:t>
            </w:r>
            <w:r w:rsidR="00604C26">
              <w:rPr>
                <w:rFonts w:ascii="Museo Sans 300" w:hAnsi="Museo Sans 300"/>
                <w:sz w:val="22"/>
                <w:szCs w:val="22"/>
                <w:lang w:val="es-MX"/>
              </w:rPr>
              <w:t xml:space="preserve">415.2 </w:t>
            </w:r>
            <w:r w:rsidR="00A3121E" w:rsidRPr="00CD1FD1">
              <w:rPr>
                <w:rFonts w:ascii="Museo Sans 300" w:hAnsi="Museo Sans 300"/>
                <w:sz w:val="22"/>
                <w:szCs w:val="22"/>
                <w:lang w:val="es-MX"/>
              </w:rPr>
              <w:t xml:space="preserve">millones, experimentando un crecimiento de </w:t>
            </w:r>
            <w:r w:rsidR="00604C26">
              <w:rPr>
                <w:rFonts w:ascii="Museo Sans 300" w:hAnsi="Museo Sans 300"/>
                <w:sz w:val="22"/>
                <w:szCs w:val="22"/>
                <w:lang w:val="es-MX"/>
              </w:rPr>
              <w:t>2.3</w:t>
            </w:r>
            <w:r w:rsidR="00A3121E" w:rsidRPr="00CD1FD1">
              <w:rPr>
                <w:rFonts w:ascii="Museo Sans 300" w:hAnsi="Museo Sans 300"/>
                <w:sz w:val="22"/>
                <w:szCs w:val="22"/>
                <w:lang w:val="es-MX"/>
              </w:rPr>
              <w:t xml:space="preserve">% con respecto a </w:t>
            </w:r>
            <w:r w:rsidR="00581B7E" w:rsidRPr="00CD1FD1">
              <w:rPr>
                <w:rFonts w:ascii="Museo Sans 300" w:hAnsi="Museo Sans 300"/>
                <w:sz w:val="22"/>
                <w:szCs w:val="22"/>
                <w:lang w:val="es-MX"/>
              </w:rPr>
              <w:t>2021</w:t>
            </w:r>
            <w:r w:rsidR="00A3121E" w:rsidRPr="00CD1FD1">
              <w:rPr>
                <w:rFonts w:ascii="Museo Sans 300" w:hAnsi="Museo Sans 300"/>
                <w:sz w:val="22"/>
                <w:szCs w:val="22"/>
                <w:lang w:val="es-MX"/>
              </w:rPr>
              <w:t xml:space="preserve">, resultado de </w:t>
            </w:r>
            <w:r w:rsidR="006066C6" w:rsidRPr="00CD1FD1">
              <w:rPr>
                <w:rFonts w:ascii="Museo Sans 300" w:hAnsi="Museo Sans 300"/>
                <w:sz w:val="22"/>
                <w:szCs w:val="22"/>
                <w:lang w:val="es-MX"/>
              </w:rPr>
              <w:t>incrementos</w:t>
            </w:r>
            <w:r w:rsidR="00A3121E" w:rsidRPr="00CD1FD1">
              <w:rPr>
                <w:rFonts w:ascii="Museo Sans 300" w:hAnsi="Museo Sans 300"/>
                <w:sz w:val="22"/>
                <w:szCs w:val="22"/>
                <w:lang w:val="es-MX"/>
              </w:rPr>
              <w:t xml:space="preserve"> </w:t>
            </w:r>
            <w:r w:rsidR="00604C26">
              <w:rPr>
                <w:rFonts w:ascii="Museo Sans 300" w:hAnsi="Museo Sans 300"/>
                <w:sz w:val="22"/>
                <w:szCs w:val="22"/>
                <w:lang w:val="es-MX"/>
              </w:rPr>
              <w:t xml:space="preserve">por un valor de $84.1 millones </w:t>
            </w:r>
            <w:r w:rsidR="006066C6" w:rsidRPr="00CD1FD1">
              <w:rPr>
                <w:rFonts w:ascii="Museo Sans 300" w:hAnsi="Museo Sans 300"/>
                <w:sz w:val="22"/>
                <w:szCs w:val="22"/>
                <w:lang w:val="es-MX"/>
              </w:rPr>
              <w:t>en</w:t>
            </w:r>
            <w:r w:rsidR="00A3121E" w:rsidRPr="00CD1FD1">
              <w:rPr>
                <w:rFonts w:ascii="Museo Sans 300" w:hAnsi="Museo Sans 300"/>
                <w:sz w:val="22"/>
                <w:szCs w:val="22"/>
                <w:lang w:val="es-MX"/>
              </w:rPr>
              <w:t xml:space="preserve"> las transferencias de capital originado principalmente por transferencia efectuada al Ramo de Educación, </w:t>
            </w:r>
            <w:r w:rsidR="00A3121E" w:rsidRPr="00A17F3B">
              <w:rPr>
                <w:rFonts w:ascii="Museo Sans 300" w:hAnsi="Museo Sans 300"/>
                <w:sz w:val="22"/>
                <w:szCs w:val="22"/>
                <w:lang w:val="es-MX"/>
              </w:rPr>
              <w:t xml:space="preserve">destinada </w:t>
            </w:r>
            <w:r w:rsidR="001A0A78" w:rsidRPr="00A17F3B">
              <w:rPr>
                <w:rFonts w:ascii="Museo Sans 300" w:hAnsi="Museo Sans 300"/>
                <w:sz w:val="22"/>
                <w:szCs w:val="22"/>
                <w:lang w:val="es-MX"/>
              </w:rPr>
              <w:t xml:space="preserve">a </w:t>
            </w:r>
            <w:r w:rsidR="00FE7891" w:rsidRPr="00A17F3B">
              <w:rPr>
                <w:rFonts w:ascii="Museo Sans 300" w:hAnsi="Museo Sans 300"/>
                <w:sz w:val="22"/>
                <w:szCs w:val="22"/>
                <w:lang w:val="es-MX"/>
              </w:rPr>
              <w:t xml:space="preserve">Programas en </w:t>
            </w:r>
            <w:r w:rsidR="00A3121E" w:rsidRPr="00A17F3B">
              <w:rPr>
                <w:rFonts w:ascii="Museo Sans 300" w:hAnsi="Museo Sans 300"/>
                <w:sz w:val="22"/>
                <w:szCs w:val="22"/>
                <w:lang w:val="es-MX"/>
              </w:rPr>
              <w:t xml:space="preserve">las áreas de </w:t>
            </w:r>
            <w:proofErr w:type="spellStart"/>
            <w:r w:rsidR="00A3121E" w:rsidRPr="00A17F3B">
              <w:rPr>
                <w:rFonts w:ascii="Museo Sans 300" w:hAnsi="Museo Sans 300"/>
                <w:sz w:val="22"/>
                <w:szCs w:val="22"/>
                <w:lang w:val="es-MX"/>
              </w:rPr>
              <w:t>parvulari</w:t>
            </w:r>
            <w:r w:rsidR="00026278" w:rsidRPr="00A17F3B">
              <w:rPr>
                <w:rFonts w:ascii="Museo Sans 300" w:hAnsi="Museo Sans 300"/>
                <w:sz w:val="22"/>
                <w:szCs w:val="22"/>
                <w:lang w:val="es-MX"/>
              </w:rPr>
              <w:t>a</w:t>
            </w:r>
            <w:proofErr w:type="spellEnd"/>
            <w:r w:rsidR="00A3121E" w:rsidRPr="00A17F3B">
              <w:rPr>
                <w:rFonts w:ascii="Museo Sans 300" w:hAnsi="Museo Sans 300"/>
                <w:sz w:val="22"/>
                <w:szCs w:val="22"/>
                <w:lang w:val="es-MX"/>
              </w:rPr>
              <w:t>, media, básica, y subsidios</w:t>
            </w:r>
            <w:r w:rsidR="00FE7891" w:rsidRPr="00A17F3B">
              <w:rPr>
                <w:rFonts w:ascii="Museo Sans 300" w:hAnsi="Museo Sans 300"/>
                <w:sz w:val="22"/>
                <w:szCs w:val="22"/>
                <w:lang w:val="es-MX"/>
              </w:rPr>
              <w:t>, entre</w:t>
            </w:r>
            <w:r w:rsidR="00A3121E" w:rsidRPr="00A17F3B">
              <w:rPr>
                <w:rFonts w:ascii="Museo Sans 300" w:hAnsi="Museo Sans 300"/>
                <w:sz w:val="22"/>
                <w:szCs w:val="22"/>
                <w:lang w:val="es-MX"/>
              </w:rPr>
              <w:t xml:space="preserve"> a otros.</w:t>
            </w:r>
            <w:r w:rsidR="00A3121E" w:rsidRPr="00CD1FD1">
              <w:rPr>
                <w:rFonts w:ascii="Museo Sans 300" w:hAnsi="Museo Sans 300"/>
                <w:sz w:val="22"/>
                <w:szCs w:val="22"/>
                <w:lang w:val="es-MX"/>
              </w:rPr>
              <w:t xml:space="preserve"> En términos absolutos la inversión registró un monto de $</w:t>
            </w:r>
            <w:r w:rsidR="00604C26">
              <w:rPr>
                <w:rFonts w:ascii="Museo Sans 300" w:hAnsi="Museo Sans 300"/>
                <w:sz w:val="22"/>
                <w:szCs w:val="22"/>
                <w:lang w:val="es-MX"/>
              </w:rPr>
              <w:t>289.2</w:t>
            </w:r>
            <w:r w:rsidR="00A3121E" w:rsidRPr="00CD1FD1">
              <w:rPr>
                <w:rFonts w:ascii="Museo Sans 300" w:hAnsi="Museo Sans 300"/>
                <w:sz w:val="22"/>
                <w:szCs w:val="22"/>
                <w:lang w:val="es-MX"/>
              </w:rPr>
              <w:t xml:space="preserve"> millones, equivalente a un nivel de 0.</w:t>
            </w:r>
            <w:r w:rsidR="00604C26">
              <w:rPr>
                <w:rFonts w:ascii="Museo Sans 300" w:hAnsi="Museo Sans 300"/>
                <w:sz w:val="22"/>
                <w:szCs w:val="22"/>
                <w:lang w:val="es-MX"/>
              </w:rPr>
              <w:t>9</w:t>
            </w:r>
            <w:r w:rsidR="00A3121E" w:rsidRPr="00CD1FD1">
              <w:rPr>
                <w:rFonts w:ascii="Museo Sans 300" w:hAnsi="Museo Sans 300"/>
                <w:sz w:val="22"/>
                <w:szCs w:val="22"/>
                <w:lang w:val="es-MX"/>
              </w:rPr>
              <w:t>% del PIB</w:t>
            </w:r>
            <w:r w:rsidR="00A75C50" w:rsidRPr="00CD1FD1">
              <w:rPr>
                <w:rFonts w:ascii="Museo Sans 300" w:hAnsi="Museo Sans 300"/>
                <w:sz w:val="22"/>
                <w:szCs w:val="22"/>
                <w:lang w:val="es-MX"/>
              </w:rPr>
              <w:t>.</w:t>
            </w:r>
          </w:p>
          <w:p w14:paraId="690626F2" w14:textId="77777777" w:rsidR="00A3121E" w:rsidRPr="009E5691" w:rsidRDefault="00A3121E" w:rsidP="009E5691">
            <w:pPr>
              <w:jc w:val="both"/>
              <w:rPr>
                <w:rFonts w:ascii="Museo Sans 300" w:hAnsi="Museo Sans 300"/>
                <w:sz w:val="22"/>
                <w:szCs w:val="22"/>
                <w:lang w:val="es-MX"/>
              </w:rPr>
            </w:pPr>
          </w:p>
          <w:p w14:paraId="2C1112B8" w14:textId="77777777" w:rsidR="00A3121E" w:rsidRPr="00CD1FD1" w:rsidRDefault="00A3121E" w:rsidP="009E5691">
            <w:pPr>
              <w:jc w:val="both"/>
              <w:rPr>
                <w:rFonts w:ascii="Museo Sans 300" w:hAnsi="Museo Sans 300"/>
                <w:sz w:val="22"/>
                <w:szCs w:val="22"/>
                <w:lang w:val="es-MX"/>
              </w:rPr>
            </w:pPr>
            <w:r w:rsidRPr="00CD1FD1">
              <w:rPr>
                <w:rFonts w:ascii="Museo Sans 300" w:hAnsi="Museo Sans 300"/>
                <w:sz w:val="22"/>
                <w:szCs w:val="22"/>
                <w:lang w:val="es-MX"/>
              </w:rPr>
              <w:lastRenderedPageBreak/>
              <w:t xml:space="preserve">La deuda del SPNF sin incluir pensiones </w:t>
            </w:r>
            <w:r w:rsidR="00355D4B" w:rsidRPr="00CD1FD1">
              <w:rPr>
                <w:rFonts w:ascii="Museo Sans 300" w:hAnsi="Museo Sans 300"/>
                <w:sz w:val="22"/>
                <w:szCs w:val="22"/>
                <w:lang w:val="es-MX"/>
              </w:rPr>
              <w:t xml:space="preserve">al mes de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Pr="00CD1FD1">
              <w:rPr>
                <w:rFonts w:ascii="Museo Sans 300" w:hAnsi="Museo Sans 300"/>
                <w:sz w:val="22"/>
                <w:szCs w:val="22"/>
                <w:lang w:val="es-MX"/>
              </w:rPr>
              <w:t xml:space="preserve"> ascendió a $1</w:t>
            </w:r>
            <w:r w:rsidR="0061127C" w:rsidRPr="00CD1FD1">
              <w:rPr>
                <w:rFonts w:ascii="Museo Sans 300" w:hAnsi="Museo Sans 300"/>
                <w:sz w:val="22"/>
                <w:szCs w:val="22"/>
                <w:lang w:val="es-MX"/>
              </w:rPr>
              <w:t>7</w:t>
            </w:r>
            <w:r w:rsidR="003C4732" w:rsidRPr="00CD1FD1">
              <w:rPr>
                <w:rFonts w:ascii="Museo Sans 300" w:hAnsi="Museo Sans 300"/>
                <w:sz w:val="22"/>
                <w:szCs w:val="22"/>
                <w:lang w:val="es-MX"/>
              </w:rPr>
              <w:t>,</w:t>
            </w:r>
            <w:r w:rsidR="00AE5131">
              <w:rPr>
                <w:rFonts w:ascii="Museo Sans 300" w:hAnsi="Museo Sans 300"/>
                <w:sz w:val="22"/>
                <w:szCs w:val="22"/>
                <w:lang w:val="es-MX"/>
              </w:rPr>
              <w:t>55</w:t>
            </w:r>
            <w:r w:rsidR="006F15C6">
              <w:rPr>
                <w:rFonts w:ascii="Museo Sans 300" w:hAnsi="Museo Sans 300"/>
                <w:sz w:val="22"/>
                <w:szCs w:val="22"/>
                <w:lang w:val="es-MX"/>
              </w:rPr>
              <w:t>3.7</w:t>
            </w:r>
            <w:r w:rsidRPr="00CD1FD1">
              <w:rPr>
                <w:rFonts w:ascii="Museo Sans 300" w:hAnsi="Museo Sans 300"/>
                <w:sz w:val="22"/>
                <w:szCs w:val="22"/>
                <w:lang w:val="es-MX"/>
              </w:rPr>
              <w:t xml:space="preserve"> millones, equivalente a </w:t>
            </w:r>
            <w:r w:rsidR="003C4732" w:rsidRPr="00CD1FD1">
              <w:rPr>
                <w:rFonts w:ascii="Museo Sans 300" w:hAnsi="Museo Sans 300"/>
                <w:sz w:val="22"/>
                <w:szCs w:val="22"/>
                <w:lang w:val="es-MX"/>
              </w:rPr>
              <w:t>5</w:t>
            </w:r>
            <w:r w:rsidR="006F15C6">
              <w:rPr>
                <w:rFonts w:ascii="Museo Sans 300" w:hAnsi="Museo Sans 300"/>
                <w:sz w:val="22"/>
                <w:szCs w:val="22"/>
                <w:lang w:val="es-MX"/>
              </w:rPr>
              <w:t>7.7</w:t>
            </w:r>
            <w:r w:rsidRPr="00CD1FD1">
              <w:rPr>
                <w:rFonts w:ascii="Museo Sans 300" w:hAnsi="Museo Sans 300"/>
                <w:sz w:val="22"/>
                <w:szCs w:val="22"/>
                <w:lang w:val="es-MX"/>
              </w:rPr>
              <w:t>% del PIB. Este valor está compuesto por $1</w:t>
            </w:r>
            <w:r w:rsidR="003C4732" w:rsidRPr="00CD1FD1">
              <w:rPr>
                <w:rFonts w:ascii="Museo Sans 300" w:hAnsi="Museo Sans 300"/>
                <w:sz w:val="22"/>
                <w:szCs w:val="22"/>
                <w:lang w:val="es-MX"/>
              </w:rPr>
              <w:t>1,</w:t>
            </w:r>
            <w:r w:rsidR="006F15C6">
              <w:rPr>
                <w:rFonts w:ascii="Museo Sans 300" w:hAnsi="Museo Sans 300"/>
                <w:sz w:val="22"/>
                <w:szCs w:val="22"/>
                <w:lang w:val="es-MX"/>
              </w:rPr>
              <w:t>426.7</w:t>
            </w:r>
            <w:r w:rsidRPr="00CD1FD1">
              <w:rPr>
                <w:rFonts w:ascii="Museo Sans 300" w:hAnsi="Museo Sans 300"/>
                <w:sz w:val="22"/>
                <w:szCs w:val="22"/>
                <w:lang w:val="es-MX"/>
              </w:rPr>
              <w:t xml:space="preserve"> millones que corresponden a deuda externa, y representan un </w:t>
            </w:r>
            <w:r w:rsidR="003C4732" w:rsidRPr="00CD1FD1">
              <w:rPr>
                <w:rFonts w:ascii="Museo Sans 300" w:hAnsi="Museo Sans 300"/>
                <w:sz w:val="22"/>
                <w:szCs w:val="22"/>
                <w:lang w:val="es-MX"/>
              </w:rPr>
              <w:t>37.</w:t>
            </w:r>
            <w:r w:rsidR="006F15C6">
              <w:rPr>
                <w:rFonts w:ascii="Museo Sans 300" w:hAnsi="Museo Sans 300"/>
                <w:sz w:val="22"/>
                <w:szCs w:val="22"/>
                <w:lang w:val="es-MX"/>
              </w:rPr>
              <w:t>6</w:t>
            </w:r>
            <w:r w:rsidRPr="00CD1FD1">
              <w:rPr>
                <w:rFonts w:ascii="Museo Sans 300" w:hAnsi="Museo Sans 300"/>
                <w:sz w:val="22"/>
                <w:szCs w:val="22"/>
                <w:lang w:val="es-MX"/>
              </w:rPr>
              <w:t>% del PIB y $</w:t>
            </w:r>
            <w:r w:rsidR="006066C6" w:rsidRPr="00ED3D89">
              <w:rPr>
                <w:rFonts w:ascii="Museo Sans 300" w:hAnsi="Museo Sans 300"/>
                <w:sz w:val="22"/>
                <w:szCs w:val="22"/>
                <w:lang w:val="es-MX"/>
              </w:rPr>
              <w:t>6,1</w:t>
            </w:r>
            <w:r w:rsidR="006F15C6">
              <w:rPr>
                <w:rFonts w:ascii="Museo Sans 300" w:hAnsi="Museo Sans 300"/>
                <w:sz w:val="22"/>
                <w:szCs w:val="22"/>
                <w:lang w:val="es-MX"/>
              </w:rPr>
              <w:t>27.0</w:t>
            </w:r>
            <w:r w:rsidRPr="00CD1FD1">
              <w:rPr>
                <w:rFonts w:ascii="Museo Sans 300" w:hAnsi="Museo Sans 300"/>
                <w:sz w:val="22"/>
                <w:szCs w:val="22"/>
                <w:lang w:val="es-MX"/>
              </w:rPr>
              <w:t xml:space="preserve"> millones correspondientes a deuda interna, equivalente a un </w:t>
            </w:r>
            <w:r w:rsidR="006066C6" w:rsidRPr="00CD1FD1">
              <w:rPr>
                <w:rFonts w:ascii="Museo Sans 300" w:hAnsi="Museo Sans 300"/>
                <w:sz w:val="22"/>
                <w:szCs w:val="22"/>
                <w:lang w:val="es-MX"/>
              </w:rPr>
              <w:t>20.</w:t>
            </w:r>
            <w:r w:rsidR="006F15C6">
              <w:rPr>
                <w:rFonts w:ascii="Museo Sans 300" w:hAnsi="Museo Sans 300"/>
                <w:sz w:val="22"/>
                <w:szCs w:val="22"/>
                <w:lang w:val="es-MX"/>
              </w:rPr>
              <w:t>1</w:t>
            </w:r>
            <w:r w:rsidRPr="00CD1FD1">
              <w:rPr>
                <w:rFonts w:ascii="Museo Sans 300" w:hAnsi="Museo Sans 300"/>
                <w:sz w:val="22"/>
                <w:szCs w:val="22"/>
                <w:lang w:val="es-MX"/>
              </w:rPr>
              <w:t>% del PIB. Al incluir el saldo de Fideicomiso de Obligaciones Previsionales (CIP serie A) por $5,</w:t>
            </w:r>
            <w:r w:rsidR="006F15C6">
              <w:rPr>
                <w:rFonts w:ascii="Museo Sans 300" w:hAnsi="Museo Sans 300"/>
                <w:sz w:val="22"/>
                <w:szCs w:val="22"/>
                <w:lang w:val="es-MX"/>
              </w:rPr>
              <w:t>934.3</w:t>
            </w:r>
            <w:r w:rsidRPr="00CD1FD1">
              <w:rPr>
                <w:rFonts w:ascii="Museo Sans 300" w:hAnsi="Museo Sans 300"/>
                <w:sz w:val="22"/>
                <w:szCs w:val="22"/>
                <w:lang w:val="es-MX"/>
              </w:rPr>
              <w:t xml:space="preserve"> millones los </w:t>
            </w:r>
            <w:r w:rsidR="0031628B" w:rsidRPr="00CD1FD1">
              <w:rPr>
                <w:rFonts w:ascii="Museo Sans 300" w:hAnsi="Museo Sans 300"/>
                <w:sz w:val="22"/>
                <w:szCs w:val="22"/>
                <w:lang w:val="es-MX"/>
              </w:rPr>
              <w:t xml:space="preserve">que </w:t>
            </w:r>
            <w:r w:rsidRPr="00CD1FD1">
              <w:rPr>
                <w:rFonts w:ascii="Museo Sans 300" w:hAnsi="Museo Sans 300"/>
                <w:sz w:val="22"/>
                <w:szCs w:val="22"/>
                <w:lang w:val="es-MX"/>
              </w:rPr>
              <w:t xml:space="preserve">representan un </w:t>
            </w:r>
            <w:r w:rsidR="003C4732" w:rsidRPr="00CD1FD1">
              <w:rPr>
                <w:rFonts w:ascii="Museo Sans 300" w:hAnsi="Museo Sans 300"/>
                <w:sz w:val="22"/>
                <w:szCs w:val="22"/>
                <w:lang w:val="es-MX"/>
              </w:rPr>
              <w:t>19.</w:t>
            </w:r>
            <w:r w:rsidR="006F15C6">
              <w:rPr>
                <w:rFonts w:ascii="Museo Sans 300" w:hAnsi="Museo Sans 300"/>
                <w:sz w:val="22"/>
                <w:szCs w:val="22"/>
                <w:lang w:val="es-MX"/>
              </w:rPr>
              <w:t>5</w:t>
            </w:r>
            <w:r w:rsidRPr="00CD1FD1">
              <w:rPr>
                <w:rFonts w:ascii="Museo Sans 300" w:hAnsi="Museo Sans 300"/>
                <w:sz w:val="22"/>
                <w:szCs w:val="22"/>
                <w:lang w:val="es-MX"/>
              </w:rPr>
              <w:t>% del PIB,</w:t>
            </w:r>
            <w:r w:rsidR="001B1836">
              <w:rPr>
                <w:rFonts w:ascii="Museo Sans 300" w:hAnsi="Museo Sans 300"/>
                <w:sz w:val="22"/>
                <w:szCs w:val="22"/>
                <w:lang w:val="es-MX"/>
              </w:rPr>
              <w:t xml:space="preserve"> </w:t>
            </w:r>
            <w:r w:rsidR="001B1836" w:rsidRPr="00285FD5">
              <w:rPr>
                <w:rFonts w:ascii="Museo Sans 300" w:hAnsi="Museo Sans 300"/>
                <w:sz w:val="22"/>
                <w:szCs w:val="22"/>
                <w:lang w:val="es-MX"/>
              </w:rPr>
              <w:t>totalizando</w:t>
            </w:r>
            <w:r w:rsidRPr="00CD1FD1">
              <w:rPr>
                <w:rFonts w:ascii="Museo Sans 300" w:hAnsi="Museo Sans 300"/>
                <w:sz w:val="22"/>
                <w:szCs w:val="22"/>
                <w:lang w:val="es-MX"/>
              </w:rPr>
              <w:t xml:space="preserve"> la deuda interna $1</w:t>
            </w:r>
            <w:r w:rsidR="003C4732" w:rsidRPr="00CD1FD1">
              <w:rPr>
                <w:rFonts w:ascii="Museo Sans 300" w:hAnsi="Museo Sans 300"/>
                <w:sz w:val="22"/>
                <w:szCs w:val="22"/>
                <w:lang w:val="es-MX"/>
              </w:rPr>
              <w:t>2,0</w:t>
            </w:r>
            <w:r w:rsidR="006F15C6">
              <w:rPr>
                <w:rFonts w:ascii="Museo Sans 300" w:hAnsi="Museo Sans 300"/>
                <w:sz w:val="22"/>
                <w:szCs w:val="22"/>
                <w:lang w:val="es-MX"/>
              </w:rPr>
              <w:t>61.4</w:t>
            </w:r>
            <w:r w:rsidRPr="00CD1FD1">
              <w:rPr>
                <w:rFonts w:ascii="Museo Sans 300" w:hAnsi="Museo Sans 300"/>
                <w:sz w:val="22"/>
                <w:szCs w:val="22"/>
                <w:lang w:val="es-MX"/>
              </w:rPr>
              <w:t xml:space="preserve"> millones.</w:t>
            </w:r>
            <w:r w:rsidR="00026278" w:rsidRPr="00CD1FD1">
              <w:rPr>
                <w:rFonts w:ascii="Museo Sans 300" w:hAnsi="Museo Sans 300"/>
                <w:sz w:val="22"/>
                <w:szCs w:val="22"/>
                <w:lang w:val="es-MX"/>
              </w:rPr>
              <w:t xml:space="preserve"> </w:t>
            </w:r>
            <w:r w:rsidRPr="00CD1FD1">
              <w:rPr>
                <w:rFonts w:ascii="Museo Sans 300" w:hAnsi="Museo Sans 300"/>
                <w:sz w:val="22"/>
                <w:szCs w:val="22"/>
                <w:lang w:val="es-MX"/>
              </w:rPr>
              <w:t>El saldo total de la deuda del SPNF con pensiones asciende a $2</w:t>
            </w:r>
            <w:r w:rsidR="003C4732" w:rsidRPr="00CD1FD1">
              <w:rPr>
                <w:rFonts w:ascii="Museo Sans 300" w:hAnsi="Museo Sans 300"/>
                <w:sz w:val="22"/>
                <w:szCs w:val="22"/>
                <w:lang w:val="es-MX"/>
              </w:rPr>
              <w:t>3,</w:t>
            </w:r>
            <w:r w:rsidR="006F15C6">
              <w:rPr>
                <w:rFonts w:ascii="Museo Sans 300" w:hAnsi="Museo Sans 300"/>
                <w:sz w:val="22"/>
                <w:szCs w:val="22"/>
                <w:lang w:val="es-MX"/>
              </w:rPr>
              <w:t>488.1</w:t>
            </w:r>
            <w:r w:rsidRPr="00CD1FD1">
              <w:rPr>
                <w:rFonts w:ascii="Museo Sans 300" w:hAnsi="Museo Sans 300"/>
                <w:sz w:val="22"/>
                <w:szCs w:val="22"/>
                <w:lang w:val="es-MX"/>
              </w:rPr>
              <w:t xml:space="preserve"> millones, que equivalen al </w:t>
            </w:r>
            <w:r w:rsidR="003C4732" w:rsidRPr="00CD1FD1">
              <w:rPr>
                <w:rFonts w:ascii="Museo Sans 300" w:hAnsi="Museo Sans 300"/>
                <w:sz w:val="22"/>
                <w:szCs w:val="22"/>
                <w:lang w:val="es-MX"/>
              </w:rPr>
              <w:t>77.</w:t>
            </w:r>
            <w:r w:rsidR="006F15C6">
              <w:rPr>
                <w:rFonts w:ascii="Museo Sans 300" w:hAnsi="Museo Sans 300"/>
                <w:sz w:val="22"/>
                <w:szCs w:val="22"/>
                <w:lang w:val="es-MX"/>
              </w:rPr>
              <w:t>2</w:t>
            </w:r>
            <w:r w:rsidRPr="00CD1FD1">
              <w:rPr>
                <w:rFonts w:ascii="Museo Sans 300" w:hAnsi="Museo Sans 300"/>
                <w:sz w:val="22"/>
                <w:szCs w:val="22"/>
                <w:lang w:val="es-MX"/>
              </w:rPr>
              <w:t>% del PIB, lo que representa un</w:t>
            </w:r>
            <w:r w:rsidR="006F15C6">
              <w:rPr>
                <w:rFonts w:ascii="Museo Sans 300" w:hAnsi="Museo Sans 300"/>
                <w:sz w:val="22"/>
                <w:szCs w:val="22"/>
                <w:lang w:val="es-MX"/>
              </w:rPr>
              <w:t xml:space="preserve">a disminución </w:t>
            </w:r>
            <w:r w:rsidRPr="00CD1FD1">
              <w:rPr>
                <w:rFonts w:ascii="Museo Sans 300" w:hAnsi="Museo Sans 300"/>
                <w:sz w:val="22"/>
                <w:szCs w:val="22"/>
                <w:lang w:val="es-MX"/>
              </w:rPr>
              <w:t xml:space="preserve">de </w:t>
            </w:r>
            <w:r w:rsidR="00793E13" w:rsidRPr="00CD1FD1">
              <w:rPr>
                <w:rFonts w:ascii="Museo Sans 300" w:hAnsi="Museo Sans 300"/>
                <w:sz w:val="22"/>
                <w:szCs w:val="22"/>
                <w:lang w:val="es-MX"/>
              </w:rPr>
              <w:t>0.</w:t>
            </w:r>
            <w:r w:rsidR="006F15C6">
              <w:rPr>
                <w:rFonts w:ascii="Museo Sans 300" w:hAnsi="Museo Sans 300"/>
                <w:sz w:val="22"/>
                <w:szCs w:val="22"/>
                <w:lang w:val="es-MX"/>
              </w:rPr>
              <w:t>4</w:t>
            </w:r>
            <w:r w:rsidRPr="00CD1FD1">
              <w:rPr>
                <w:rFonts w:ascii="Museo Sans 300" w:hAnsi="Museo Sans 300"/>
                <w:sz w:val="22"/>
                <w:szCs w:val="22"/>
                <w:lang w:val="es-MX"/>
              </w:rPr>
              <w:t xml:space="preserve"> puntos porcentual con respecto al</w:t>
            </w:r>
            <w:r w:rsidR="007A4ECC">
              <w:rPr>
                <w:rFonts w:ascii="Museo Sans 300" w:hAnsi="Museo Sans 300"/>
                <w:sz w:val="22"/>
                <w:szCs w:val="22"/>
                <w:lang w:val="es-MX"/>
              </w:rPr>
              <w:t xml:space="preserve"> indicador</w:t>
            </w:r>
            <w:r w:rsidRPr="00CD1FD1">
              <w:rPr>
                <w:rFonts w:ascii="Museo Sans 300" w:hAnsi="Museo Sans 300"/>
                <w:sz w:val="22"/>
                <w:szCs w:val="22"/>
                <w:lang w:val="es-MX"/>
              </w:rPr>
              <w:t xml:space="preserve"> registrado en </w:t>
            </w:r>
            <w:r w:rsidR="00C722FC">
              <w:rPr>
                <w:rFonts w:ascii="Museo Sans 300" w:hAnsi="Museo Sans 300"/>
                <w:sz w:val="22"/>
                <w:szCs w:val="22"/>
                <w:lang w:val="es-MX"/>
              </w:rPr>
              <w:t>junio</w:t>
            </w:r>
            <w:r w:rsidRPr="00CD1FD1">
              <w:rPr>
                <w:rFonts w:ascii="Museo Sans 300" w:hAnsi="Museo Sans 300"/>
                <w:sz w:val="22"/>
                <w:szCs w:val="22"/>
                <w:lang w:val="es-MX"/>
              </w:rPr>
              <w:t xml:space="preserve"> de </w:t>
            </w:r>
            <w:r w:rsidR="00581B7E" w:rsidRPr="00CD1FD1">
              <w:rPr>
                <w:rFonts w:ascii="Museo Sans 300" w:hAnsi="Museo Sans 300"/>
                <w:sz w:val="22"/>
                <w:szCs w:val="22"/>
                <w:lang w:val="es-MX"/>
              </w:rPr>
              <w:t>2021</w:t>
            </w:r>
            <w:r w:rsidRPr="00CD1FD1">
              <w:rPr>
                <w:rFonts w:ascii="Museo Sans 300" w:hAnsi="Museo Sans 300"/>
                <w:sz w:val="22"/>
                <w:szCs w:val="22"/>
                <w:lang w:val="es-MX"/>
              </w:rPr>
              <w:t>.</w:t>
            </w:r>
          </w:p>
          <w:p w14:paraId="2607D98A" w14:textId="77777777" w:rsidR="00A3121E" w:rsidRPr="009E5691" w:rsidRDefault="00A3121E" w:rsidP="009E5691">
            <w:pPr>
              <w:jc w:val="both"/>
              <w:rPr>
                <w:rFonts w:ascii="Museo Sans 300" w:hAnsi="Museo Sans 300"/>
                <w:sz w:val="22"/>
                <w:szCs w:val="22"/>
                <w:lang w:val="es-MX"/>
              </w:rPr>
            </w:pPr>
          </w:p>
          <w:p w14:paraId="16313B8F" w14:textId="77777777" w:rsidR="00A75C50" w:rsidRPr="00CD1FD1" w:rsidRDefault="00A75C50" w:rsidP="009E5691">
            <w:pPr>
              <w:jc w:val="both"/>
              <w:rPr>
                <w:rFonts w:ascii="Museo Sans 300" w:hAnsi="Museo Sans 300"/>
                <w:sz w:val="22"/>
                <w:szCs w:val="22"/>
                <w:lang w:val="es-MX"/>
              </w:rPr>
            </w:pPr>
          </w:p>
          <w:p w14:paraId="79C687CE" w14:textId="77777777" w:rsidR="006B1211" w:rsidRPr="003D4C8A" w:rsidRDefault="006B1211" w:rsidP="000D7396">
            <w:pPr>
              <w:pStyle w:val="Ttulo2"/>
              <w:rPr>
                <w:rFonts w:ascii="Museo Sans 300" w:hAnsi="Museo Sans 300"/>
                <w:sz w:val="24"/>
                <w:szCs w:val="24"/>
                <w:lang w:val="es-MX"/>
              </w:rPr>
            </w:pPr>
            <w:bookmarkStart w:id="9" w:name="_Toc116389130"/>
            <w:r w:rsidRPr="003D4C8A">
              <w:rPr>
                <w:rFonts w:ascii="Museo Sans 300" w:hAnsi="Museo Sans 300"/>
                <w:sz w:val="24"/>
                <w:szCs w:val="24"/>
                <w:lang w:val="es-MX"/>
              </w:rPr>
              <w:t>II. Entorno Macroeconómico</w:t>
            </w:r>
            <w:bookmarkEnd w:id="9"/>
          </w:p>
          <w:p w14:paraId="5054E624" w14:textId="77777777" w:rsidR="006B1211" w:rsidRPr="009E5691" w:rsidRDefault="006B1211" w:rsidP="009E5691">
            <w:pPr>
              <w:jc w:val="both"/>
              <w:rPr>
                <w:rFonts w:ascii="Museo Sans 300" w:hAnsi="Museo Sans 300"/>
                <w:sz w:val="22"/>
                <w:szCs w:val="22"/>
                <w:lang w:val="es-MX"/>
              </w:rPr>
            </w:pPr>
          </w:p>
          <w:p w14:paraId="640DDA1A" w14:textId="77777777" w:rsidR="006B1211" w:rsidRPr="00CD1FD1" w:rsidRDefault="006B1211" w:rsidP="009E5691">
            <w:pPr>
              <w:jc w:val="both"/>
              <w:rPr>
                <w:rFonts w:ascii="Museo Sans 300" w:hAnsi="Museo Sans 300"/>
                <w:sz w:val="22"/>
                <w:szCs w:val="22"/>
                <w:lang w:val="es-MX"/>
              </w:rPr>
            </w:pPr>
          </w:p>
          <w:p w14:paraId="02750E49" w14:textId="77777777" w:rsidR="00A51D87" w:rsidRPr="00CD1FD1" w:rsidRDefault="001D0083" w:rsidP="009E5691">
            <w:pPr>
              <w:jc w:val="both"/>
              <w:rPr>
                <w:rFonts w:ascii="Museo Sans 300" w:hAnsi="Museo Sans 300"/>
                <w:sz w:val="22"/>
                <w:szCs w:val="22"/>
                <w:lang w:val="es-MX"/>
              </w:rPr>
            </w:pPr>
            <w:r w:rsidRPr="00CD1FD1">
              <w:rPr>
                <w:rFonts w:ascii="Museo Sans 300" w:hAnsi="Museo Sans 300"/>
                <w:sz w:val="22"/>
                <w:szCs w:val="22"/>
                <w:lang w:val="es-MX"/>
              </w:rPr>
              <w:t xml:space="preserve">A </w:t>
            </w:r>
            <w:r w:rsidR="003E28F3" w:rsidRPr="00CD1FD1">
              <w:rPr>
                <w:rFonts w:ascii="Museo Sans 300" w:hAnsi="Museo Sans 300"/>
                <w:sz w:val="22"/>
                <w:szCs w:val="22"/>
                <w:lang w:val="es-MX"/>
              </w:rPr>
              <w:t>continuación,</w:t>
            </w:r>
            <w:r w:rsidRPr="00CD1FD1">
              <w:rPr>
                <w:rFonts w:ascii="Museo Sans 300" w:hAnsi="Museo Sans 300"/>
                <w:sz w:val="22"/>
                <w:szCs w:val="22"/>
                <w:lang w:val="es-MX"/>
              </w:rPr>
              <w:t xml:space="preserve"> se presentan l</w:t>
            </w:r>
            <w:r w:rsidR="00A51D87" w:rsidRPr="00CD1FD1">
              <w:rPr>
                <w:rFonts w:ascii="Museo Sans 300" w:hAnsi="Museo Sans 300"/>
                <w:sz w:val="22"/>
                <w:szCs w:val="22"/>
                <w:lang w:val="es-MX"/>
              </w:rPr>
              <w:t xml:space="preserve">os resultados de economía nacional a </w:t>
            </w:r>
            <w:r w:rsidR="00C722FC">
              <w:rPr>
                <w:rFonts w:ascii="Museo Sans 300" w:hAnsi="Museo Sans 300"/>
                <w:sz w:val="22"/>
                <w:szCs w:val="22"/>
                <w:lang w:val="es-MX"/>
              </w:rPr>
              <w:t>junio</w:t>
            </w:r>
            <w:r w:rsidR="00A51D87" w:rsidRPr="00CD1FD1">
              <w:rPr>
                <w:rFonts w:ascii="Museo Sans 300" w:hAnsi="Museo Sans 300"/>
                <w:sz w:val="22"/>
                <w:szCs w:val="22"/>
                <w:lang w:val="es-MX"/>
              </w:rPr>
              <w:t xml:space="preserve"> 202</w:t>
            </w:r>
            <w:r w:rsidR="0064579A" w:rsidRPr="00CD1FD1">
              <w:rPr>
                <w:rFonts w:ascii="Museo Sans 300" w:hAnsi="Museo Sans 300"/>
                <w:sz w:val="22"/>
                <w:szCs w:val="22"/>
                <w:lang w:val="es-MX"/>
              </w:rPr>
              <w:t>2</w:t>
            </w:r>
            <w:r w:rsidR="00A51D87" w:rsidRPr="00CD1FD1">
              <w:rPr>
                <w:rFonts w:ascii="Museo Sans 300" w:hAnsi="Museo Sans 300"/>
                <w:sz w:val="22"/>
                <w:szCs w:val="22"/>
                <w:lang w:val="es-MX"/>
              </w:rPr>
              <w:t xml:space="preserve">, basado de estadísticas </w:t>
            </w:r>
            <w:r w:rsidR="00CD06CE" w:rsidRPr="00CD1FD1">
              <w:rPr>
                <w:rFonts w:ascii="Museo Sans 300" w:hAnsi="Museo Sans 300"/>
                <w:sz w:val="22"/>
                <w:szCs w:val="22"/>
                <w:lang w:val="es-MX"/>
              </w:rPr>
              <w:t>sobre</w:t>
            </w:r>
            <w:r w:rsidR="005924A9" w:rsidRPr="00CD1FD1">
              <w:rPr>
                <w:rFonts w:ascii="Museo Sans 300" w:hAnsi="Museo Sans 300"/>
                <w:sz w:val="22"/>
                <w:szCs w:val="22"/>
                <w:lang w:val="es-MX"/>
              </w:rPr>
              <w:t xml:space="preserve"> las principales variables </w:t>
            </w:r>
            <w:r w:rsidR="00A51D87" w:rsidRPr="00CD1FD1">
              <w:rPr>
                <w:rFonts w:ascii="Museo Sans 300" w:hAnsi="Museo Sans 300"/>
                <w:sz w:val="22"/>
                <w:szCs w:val="22"/>
                <w:lang w:val="es-MX"/>
              </w:rPr>
              <w:t xml:space="preserve">macroeconómicas </w:t>
            </w:r>
            <w:r w:rsidR="00CD06CE" w:rsidRPr="00CD1FD1">
              <w:rPr>
                <w:rFonts w:ascii="Museo Sans 300" w:hAnsi="Museo Sans 300"/>
                <w:sz w:val="22"/>
                <w:szCs w:val="22"/>
                <w:lang w:val="es-MX"/>
              </w:rPr>
              <w:t xml:space="preserve">publicadas por </w:t>
            </w:r>
            <w:r w:rsidR="00A51D87" w:rsidRPr="00CD1FD1">
              <w:rPr>
                <w:rFonts w:ascii="Museo Sans 300" w:hAnsi="Museo Sans 300"/>
                <w:sz w:val="22"/>
                <w:szCs w:val="22"/>
                <w:lang w:val="es-MX"/>
              </w:rPr>
              <w:t>el BCR.</w:t>
            </w:r>
          </w:p>
          <w:p w14:paraId="5FB1BD24" w14:textId="77777777" w:rsidR="00A51D87" w:rsidRPr="00CD1FD1" w:rsidRDefault="00A51D87" w:rsidP="009E5691">
            <w:pPr>
              <w:jc w:val="both"/>
              <w:rPr>
                <w:rFonts w:ascii="Museo Sans 300" w:hAnsi="Museo Sans 300"/>
                <w:sz w:val="22"/>
                <w:szCs w:val="22"/>
                <w:lang w:val="es-MX"/>
              </w:rPr>
            </w:pPr>
          </w:p>
          <w:p w14:paraId="40B1F7E1" w14:textId="77777777" w:rsidR="00CE25E7" w:rsidRPr="00CD1FD1" w:rsidRDefault="00CE25E7" w:rsidP="009E5691">
            <w:pPr>
              <w:jc w:val="both"/>
              <w:rPr>
                <w:rFonts w:ascii="Museo Sans 300" w:hAnsi="Museo Sans 300"/>
                <w:sz w:val="22"/>
                <w:szCs w:val="22"/>
                <w:lang w:val="es-MX"/>
              </w:rPr>
            </w:pPr>
          </w:p>
          <w:p w14:paraId="067F4F81" w14:textId="77777777" w:rsidR="00476577" w:rsidRDefault="00476577" w:rsidP="009E5691">
            <w:pPr>
              <w:jc w:val="both"/>
              <w:rPr>
                <w:rFonts w:ascii="Museo Sans 300" w:hAnsi="Museo Sans 300"/>
                <w:sz w:val="22"/>
                <w:szCs w:val="22"/>
                <w:lang w:val="es-MX"/>
              </w:rPr>
            </w:pPr>
            <w:r w:rsidRPr="006A35C9">
              <w:rPr>
                <w:rFonts w:ascii="Museo Sans 300" w:hAnsi="Museo Sans 300"/>
                <w:sz w:val="22"/>
                <w:szCs w:val="22"/>
                <w:lang w:val="es-MX"/>
              </w:rPr>
              <w:t xml:space="preserve">El IVAE (nueva serie desestacionalizada) registró al mes de </w:t>
            </w:r>
            <w:r w:rsidR="0094579D">
              <w:rPr>
                <w:rFonts w:ascii="Museo Sans 300" w:hAnsi="Museo Sans 300"/>
                <w:sz w:val="22"/>
                <w:szCs w:val="22"/>
                <w:lang w:val="es-MX"/>
              </w:rPr>
              <w:t>mayo</w:t>
            </w:r>
            <w:r w:rsidRPr="006A35C9">
              <w:rPr>
                <w:rFonts w:ascii="Museo Sans 300" w:hAnsi="Museo Sans 300"/>
                <w:sz w:val="22"/>
                <w:szCs w:val="22"/>
                <w:lang w:val="es-MX"/>
              </w:rPr>
              <w:t xml:space="preserve"> de 2022 una variación anual de </w:t>
            </w:r>
            <w:r w:rsidR="006F15C6" w:rsidRPr="009E5691">
              <w:rPr>
                <w:rFonts w:ascii="Museo Sans 300" w:hAnsi="Museo Sans 300"/>
                <w:sz w:val="22"/>
                <w:szCs w:val="22"/>
                <w:lang w:val="es-MX"/>
              </w:rPr>
              <w:t>4.1% (29.8% en mayo de 2021).</w:t>
            </w:r>
            <w:r w:rsidR="006A35C9" w:rsidRPr="009E5691">
              <w:rPr>
                <w:rFonts w:ascii="Museo Sans 300" w:hAnsi="Museo Sans 300"/>
                <w:sz w:val="22"/>
                <w:szCs w:val="22"/>
                <w:lang w:val="es-MX"/>
              </w:rPr>
              <w:t xml:space="preserve"> </w:t>
            </w:r>
            <w:r w:rsidRPr="006A35C9">
              <w:rPr>
                <w:rFonts w:ascii="Museo Sans 300" w:hAnsi="Museo Sans 300"/>
                <w:sz w:val="22"/>
                <w:szCs w:val="22"/>
                <w:lang w:val="es-MX"/>
              </w:rPr>
              <w:t xml:space="preserve">Las ramas con mayor rendimiento destacan: </w:t>
            </w:r>
            <w:r w:rsidR="006A35C9" w:rsidRPr="006A35C9">
              <w:rPr>
                <w:rFonts w:ascii="Museo Sans 300" w:hAnsi="Museo Sans 300"/>
                <w:sz w:val="22"/>
                <w:szCs w:val="22"/>
                <w:lang w:val="es-MX"/>
              </w:rPr>
              <w:t xml:space="preserve">Construcción 6.6%; </w:t>
            </w:r>
            <w:r w:rsidRPr="009E5691">
              <w:rPr>
                <w:rFonts w:ascii="Museo Sans 300" w:hAnsi="Museo Sans 300"/>
                <w:sz w:val="22"/>
                <w:szCs w:val="22"/>
                <w:lang w:val="es-MX"/>
              </w:rPr>
              <w:t xml:space="preserve">Agricultura, Ganadería, Silvicultura Pesca </w:t>
            </w:r>
            <w:r w:rsidR="006945D4">
              <w:rPr>
                <w:rFonts w:ascii="Museo Sans 300" w:hAnsi="Museo Sans 300"/>
                <w:sz w:val="22"/>
                <w:szCs w:val="22"/>
                <w:lang w:val="es-MX"/>
              </w:rPr>
              <w:t>2.3</w:t>
            </w:r>
            <w:r w:rsidRPr="009E5691">
              <w:rPr>
                <w:rFonts w:ascii="Museo Sans 300" w:hAnsi="Museo Sans 300"/>
                <w:sz w:val="22"/>
                <w:szCs w:val="22"/>
                <w:lang w:val="es-MX"/>
              </w:rPr>
              <w:t xml:space="preserve">%; </w:t>
            </w:r>
            <w:r w:rsidR="006945D4">
              <w:rPr>
                <w:rFonts w:ascii="Museo Sans 300" w:hAnsi="Museo Sans 300"/>
                <w:sz w:val="22"/>
                <w:szCs w:val="22"/>
                <w:lang w:val="es-MX"/>
              </w:rPr>
              <w:t>Índice de Producción industrial 2.8%</w:t>
            </w:r>
            <w:r w:rsidR="004500A9">
              <w:rPr>
                <w:rFonts w:ascii="Museo Sans 300" w:hAnsi="Museo Sans 300"/>
                <w:sz w:val="22"/>
                <w:szCs w:val="22"/>
                <w:lang w:val="es-MX"/>
              </w:rPr>
              <w:t>,</w:t>
            </w:r>
            <w:r w:rsidR="006945D4">
              <w:rPr>
                <w:rFonts w:ascii="Museo Sans 300" w:hAnsi="Museo Sans 300"/>
                <w:sz w:val="22"/>
                <w:szCs w:val="22"/>
                <w:lang w:val="es-MX"/>
              </w:rPr>
              <w:t xml:space="preserve"> </w:t>
            </w:r>
            <w:r w:rsidR="006A35C9" w:rsidRPr="009E5691">
              <w:rPr>
                <w:rFonts w:ascii="Museo Sans 300" w:hAnsi="Museo Sans 300"/>
                <w:sz w:val="22"/>
                <w:szCs w:val="22"/>
                <w:lang w:val="es-MX"/>
              </w:rPr>
              <w:t>Comercio, Transporte y Almacenamiento, Actividades de Alojamiento y de Servicio de Comidas</w:t>
            </w:r>
            <w:r w:rsidR="00C82A86">
              <w:rPr>
                <w:rFonts w:ascii="Museo Sans 300" w:hAnsi="Museo Sans 300"/>
                <w:sz w:val="22"/>
                <w:szCs w:val="22"/>
                <w:lang w:val="es-MX"/>
              </w:rPr>
              <w:t xml:space="preserve"> </w:t>
            </w:r>
            <w:r w:rsidR="006A35C9" w:rsidRPr="009E5691">
              <w:rPr>
                <w:rFonts w:ascii="Museo Sans 300" w:hAnsi="Museo Sans 300"/>
                <w:sz w:val="22"/>
                <w:szCs w:val="22"/>
                <w:lang w:val="es-MX"/>
              </w:rPr>
              <w:t>5.7%; A</w:t>
            </w:r>
            <w:r w:rsidR="000962EE" w:rsidRPr="009E5691">
              <w:rPr>
                <w:rFonts w:ascii="Museo Sans 300" w:hAnsi="Museo Sans 300"/>
                <w:sz w:val="22"/>
                <w:szCs w:val="22"/>
                <w:lang w:val="es-MX"/>
              </w:rPr>
              <w:t>ctividades</w:t>
            </w:r>
            <w:r w:rsidR="000962EE" w:rsidRPr="006A35C9">
              <w:rPr>
                <w:rFonts w:ascii="Museo Sans 300" w:hAnsi="Museo Sans 300"/>
                <w:sz w:val="22"/>
                <w:szCs w:val="22"/>
                <w:lang w:val="es-MX"/>
              </w:rPr>
              <w:t xml:space="preserve"> </w:t>
            </w:r>
            <w:r w:rsidR="003D46A2" w:rsidRPr="009E5691">
              <w:rPr>
                <w:rFonts w:ascii="Museo Sans 300" w:hAnsi="Museo Sans 300"/>
                <w:sz w:val="22"/>
                <w:szCs w:val="22"/>
                <w:lang w:val="es-MX"/>
              </w:rPr>
              <w:t xml:space="preserve">Profesionales, Científicas, Técnicas, Administrativas, de Apoyo y Otros Servicios </w:t>
            </w:r>
            <w:r w:rsidR="006A35C9" w:rsidRPr="009E5691">
              <w:rPr>
                <w:rFonts w:ascii="Museo Sans 300" w:hAnsi="Museo Sans 300"/>
                <w:sz w:val="22"/>
                <w:szCs w:val="22"/>
                <w:lang w:val="es-MX"/>
              </w:rPr>
              <w:t>5.3</w:t>
            </w:r>
            <w:r w:rsidR="003D46A2" w:rsidRPr="009E5691">
              <w:rPr>
                <w:rFonts w:ascii="Museo Sans 300" w:hAnsi="Museo Sans 300"/>
                <w:sz w:val="22"/>
                <w:szCs w:val="22"/>
                <w:lang w:val="es-MX"/>
              </w:rPr>
              <w:t>%</w:t>
            </w:r>
            <w:r w:rsidR="000962EE" w:rsidRPr="009E5691">
              <w:rPr>
                <w:rFonts w:ascii="Museo Sans 300" w:hAnsi="Museo Sans 300"/>
                <w:sz w:val="22"/>
                <w:szCs w:val="22"/>
                <w:lang w:val="es-MX"/>
              </w:rPr>
              <w:t xml:space="preserve">; </w:t>
            </w:r>
            <w:r w:rsidR="003D46A2" w:rsidRPr="009E5691">
              <w:rPr>
                <w:rFonts w:ascii="Museo Sans 300" w:hAnsi="Museo Sans 300"/>
                <w:sz w:val="22"/>
                <w:szCs w:val="22"/>
                <w:lang w:val="es-MX"/>
              </w:rPr>
              <w:t xml:space="preserve">Actividades </w:t>
            </w:r>
            <w:r w:rsidR="000962EE" w:rsidRPr="009E5691">
              <w:rPr>
                <w:rFonts w:ascii="Museo Sans 300" w:hAnsi="Museo Sans 300"/>
                <w:sz w:val="22"/>
                <w:szCs w:val="22"/>
                <w:lang w:val="es-MX"/>
              </w:rPr>
              <w:t>Inmobiliarias</w:t>
            </w:r>
            <w:r w:rsidR="003D46A2" w:rsidRPr="009E5691">
              <w:rPr>
                <w:rFonts w:ascii="Museo Sans 300" w:hAnsi="Museo Sans 300"/>
                <w:sz w:val="22"/>
                <w:szCs w:val="22"/>
                <w:lang w:val="es-MX"/>
              </w:rPr>
              <w:t xml:space="preserve"> </w:t>
            </w:r>
            <w:r w:rsidR="006945D4">
              <w:rPr>
                <w:rFonts w:ascii="Museo Sans 300" w:hAnsi="Museo Sans 300"/>
                <w:sz w:val="22"/>
                <w:szCs w:val="22"/>
                <w:lang w:val="es-MX"/>
              </w:rPr>
              <w:t>3.2</w:t>
            </w:r>
            <w:r w:rsidR="003D46A2" w:rsidRPr="009E5691">
              <w:rPr>
                <w:rFonts w:ascii="Museo Sans 300" w:hAnsi="Museo Sans 300"/>
                <w:sz w:val="22"/>
                <w:szCs w:val="22"/>
                <w:lang w:val="es-MX"/>
              </w:rPr>
              <w:t>%;</w:t>
            </w:r>
            <w:r w:rsidR="000962EE" w:rsidRPr="009E5691">
              <w:rPr>
                <w:rFonts w:ascii="Museo Sans 300" w:hAnsi="Museo Sans 300"/>
                <w:sz w:val="22"/>
                <w:szCs w:val="22"/>
                <w:lang w:val="es-MX"/>
              </w:rPr>
              <w:t xml:space="preserve"> </w:t>
            </w:r>
            <w:r w:rsidR="003D46A2" w:rsidRPr="009E5691">
              <w:rPr>
                <w:rFonts w:ascii="Museo Sans 300" w:hAnsi="Museo Sans 300"/>
                <w:sz w:val="22"/>
                <w:szCs w:val="22"/>
                <w:lang w:val="es-MX"/>
              </w:rPr>
              <w:t>Activida</w:t>
            </w:r>
            <w:r w:rsidR="000962EE" w:rsidRPr="009E5691">
              <w:rPr>
                <w:rFonts w:ascii="Museo Sans 300" w:hAnsi="Museo Sans 300"/>
                <w:sz w:val="22"/>
                <w:szCs w:val="22"/>
                <w:lang w:val="es-MX"/>
              </w:rPr>
              <w:t>d</w:t>
            </w:r>
            <w:r w:rsidR="003D46A2" w:rsidRPr="009E5691">
              <w:rPr>
                <w:rFonts w:ascii="Museo Sans 300" w:hAnsi="Museo Sans 300"/>
                <w:sz w:val="22"/>
                <w:szCs w:val="22"/>
                <w:lang w:val="es-MX"/>
              </w:rPr>
              <w:t xml:space="preserve">es de Administración </w:t>
            </w:r>
            <w:r w:rsidR="000962EE" w:rsidRPr="009E5691">
              <w:rPr>
                <w:rFonts w:ascii="Museo Sans 300" w:hAnsi="Museo Sans 300"/>
                <w:sz w:val="22"/>
                <w:szCs w:val="22"/>
                <w:lang w:val="es-MX"/>
              </w:rPr>
              <w:t>Pública</w:t>
            </w:r>
            <w:r w:rsidR="003D46A2" w:rsidRPr="009E5691">
              <w:rPr>
                <w:rFonts w:ascii="Museo Sans 300" w:hAnsi="Museo Sans 300"/>
                <w:sz w:val="22"/>
                <w:szCs w:val="22"/>
                <w:lang w:val="es-MX"/>
              </w:rPr>
              <w:t xml:space="preserve"> y Defensa </w:t>
            </w:r>
            <w:r w:rsidR="006A35C9" w:rsidRPr="009E5691">
              <w:rPr>
                <w:rFonts w:ascii="Museo Sans 300" w:hAnsi="Museo Sans 300"/>
                <w:sz w:val="22"/>
                <w:szCs w:val="22"/>
                <w:lang w:val="es-MX"/>
              </w:rPr>
              <w:t>7.1</w:t>
            </w:r>
            <w:r w:rsidR="003D46A2" w:rsidRPr="009E5691">
              <w:rPr>
                <w:rFonts w:ascii="Museo Sans 300" w:hAnsi="Museo Sans 300"/>
                <w:sz w:val="22"/>
                <w:szCs w:val="22"/>
                <w:lang w:val="es-MX"/>
              </w:rPr>
              <w:t>%</w:t>
            </w:r>
            <w:r w:rsidRPr="006A35C9">
              <w:rPr>
                <w:rFonts w:ascii="Museo Sans 300" w:hAnsi="Museo Sans 300"/>
                <w:sz w:val="22"/>
                <w:szCs w:val="22"/>
                <w:lang w:val="es-MX"/>
              </w:rPr>
              <w:t>.</w:t>
            </w:r>
          </w:p>
          <w:p w14:paraId="5D19B664" w14:textId="77777777" w:rsidR="00152F95" w:rsidRPr="009E5691" w:rsidRDefault="00152F95" w:rsidP="009E5691">
            <w:pPr>
              <w:jc w:val="both"/>
              <w:rPr>
                <w:rFonts w:ascii="Museo Sans 300" w:hAnsi="Museo Sans 300"/>
                <w:sz w:val="22"/>
                <w:szCs w:val="22"/>
                <w:lang w:val="es-MX"/>
              </w:rPr>
            </w:pPr>
          </w:p>
          <w:p w14:paraId="3E7712D0" w14:textId="77777777" w:rsidR="006A35C9" w:rsidRDefault="006A35C9" w:rsidP="009E5691">
            <w:pPr>
              <w:jc w:val="both"/>
              <w:rPr>
                <w:rFonts w:ascii="Museo Sans 300" w:hAnsi="Museo Sans 300"/>
                <w:sz w:val="22"/>
                <w:szCs w:val="22"/>
                <w:lang w:val="es-MX"/>
              </w:rPr>
            </w:pPr>
            <w:r w:rsidRPr="006A35C9">
              <w:rPr>
                <w:rFonts w:ascii="Museo Sans 300" w:hAnsi="Museo Sans 300"/>
                <w:sz w:val="22"/>
                <w:szCs w:val="22"/>
                <w:lang w:val="es-MX"/>
              </w:rPr>
              <w:t xml:space="preserve">La inflación anual </w:t>
            </w:r>
            <w:r w:rsidR="00C82A86">
              <w:rPr>
                <w:rFonts w:ascii="Museo Sans 300" w:hAnsi="Museo Sans 300"/>
                <w:sz w:val="22"/>
                <w:szCs w:val="22"/>
                <w:lang w:val="es-MX"/>
              </w:rPr>
              <w:t xml:space="preserve">al mes de junio </w:t>
            </w:r>
            <w:r w:rsidRPr="006A35C9">
              <w:rPr>
                <w:rFonts w:ascii="Museo Sans 300" w:hAnsi="Museo Sans 300"/>
                <w:sz w:val="22"/>
                <w:szCs w:val="22"/>
                <w:lang w:val="es-MX"/>
              </w:rPr>
              <w:t>fue de 7.8%, debido al aumento en la mayoría de las divisiones, siendo las principales las siguientes: en la División de Alimentos y bebidas no alcohólicas (14.37%); Muebles, artículos para el hogar (9.62%); Recreación y cultura (8.16%); Bienes y servicios diversos (7.47%); y Restaurantes y hoteles (7.28%). Por otra parte, se registró reducción en la división de Comunicaciones (-0.12%).</w:t>
            </w:r>
          </w:p>
          <w:p w14:paraId="79199265" w14:textId="77777777" w:rsidR="00152F95" w:rsidRPr="006A35C9" w:rsidRDefault="00152F95" w:rsidP="009E5691">
            <w:pPr>
              <w:jc w:val="both"/>
              <w:rPr>
                <w:rFonts w:ascii="Museo Sans 300" w:hAnsi="Museo Sans 300"/>
                <w:sz w:val="22"/>
                <w:szCs w:val="22"/>
                <w:lang w:val="es-MX"/>
              </w:rPr>
            </w:pPr>
          </w:p>
          <w:p w14:paraId="65122EEA" w14:textId="77777777" w:rsidR="00CE25E7" w:rsidRDefault="00CE25E7" w:rsidP="00ED3C3F">
            <w:pPr>
              <w:jc w:val="both"/>
              <w:rPr>
                <w:rFonts w:ascii="Museo Sans 300" w:hAnsi="Museo Sans 300"/>
                <w:sz w:val="22"/>
                <w:szCs w:val="22"/>
                <w:lang w:val="es-MX"/>
              </w:rPr>
            </w:pPr>
            <w:bookmarkStart w:id="10" w:name="_Hlk60986249"/>
            <w:r w:rsidRPr="005F185C">
              <w:rPr>
                <w:rFonts w:ascii="Museo Sans 300" w:hAnsi="Museo Sans 300"/>
                <w:sz w:val="22"/>
                <w:szCs w:val="22"/>
                <w:lang w:val="es-MX"/>
              </w:rPr>
              <w:t xml:space="preserve">La evolución del empleo formal al mes de </w:t>
            </w:r>
            <w:r w:rsidR="0094579D" w:rsidRPr="005F185C">
              <w:rPr>
                <w:rFonts w:ascii="Museo Sans 300" w:hAnsi="Museo Sans 300"/>
                <w:sz w:val="22"/>
                <w:szCs w:val="22"/>
                <w:lang w:val="es-MX"/>
              </w:rPr>
              <w:t>mayo</w:t>
            </w:r>
            <w:r w:rsidRPr="005F185C">
              <w:rPr>
                <w:rFonts w:ascii="Museo Sans 300" w:hAnsi="Museo Sans 300"/>
                <w:sz w:val="22"/>
                <w:szCs w:val="22"/>
                <w:lang w:val="es-MX"/>
              </w:rPr>
              <w:t xml:space="preserve"> de 2022 </w:t>
            </w:r>
            <w:bookmarkStart w:id="11" w:name="_Hlk58933288"/>
            <w:r w:rsidRPr="005F185C">
              <w:rPr>
                <w:rFonts w:ascii="Museo Sans 300" w:hAnsi="Museo Sans 300"/>
                <w:sz w:val="22"/>
                <w:szCs w:val="22"/>
                <w:lang w:val="es-MX"/>
              </w:rPr>
              <w:t xml:space="preserve">alcanzó </w:t>
            </w:r>
            <w:bookmarkEnd w:id="11"/>
            <w:r w:rsidRPr="005F185C">
              <w:rPr>
                <w:rFonts w:ascii="Museo Sans 300" w:hAnsi="Museo Sans 300"/>
                <w:sz w:val="22"/>
                <w:szCs w:val="22"/>
                <w:lang w:val="es-MX"/>
              </w:rPr>
              <w:t>un total de 9</w:t>
            </w:r>
            <w:r w:rsidR="005F185C" w:rsidRPr="005F185C">
              <w:rPr>
                <w:rFonts w:ascii="Museo Sans 300" w:hAnsi="Museo Sans 300"/>
                <w:sz w:val="22"/>
                <w:szCs w:val="22"/>
                <w:lang w:val="es-MX"/>
              </w:rPr>
              <w:t>32,103</w:t>
            </w:r>
            <w:r w:rsidRPr="005F185C">
              <w:rPr>
                <w:rFonts w:ascii="Museo Sans 300" w:hAnsi="Museo Sans 300"/>
                <w:sz w:val="22"/>
                <w:szCs w:val="22"/>
                <w:lang w:val="es-MX"/>
              </w:rPr>
              <w:t xml:space="preserve"> trabajadores, registrándose una variación anual de 5</w:t>
            </w:r>
            <w:r w:rsidR="005F185C" w:rsidRPr="005F185C">
              <w:rPr>
                <w:rFonts w:ascii="Museo Sans 300" w:hAnsi="Museo Sans 300"/>
                <w:sz w:val="22"/>
                <w:szCs w:val="22"/>
                <w:lang w:val="es-MX"/>
              </w:rPr>
              <w:t>9,701</w:t>
            </w:r>
            <w:r w:rsidRPr="005F185C">
              <w:rPr>
                <w:rFonts w:ascii="Museo Sans 300" w:hAnsi="Museo Sans 300"/>
                <w:sz w:val="22"/>
                <w:szCs w:val="22"/>
                <w:lang w:val="es-MX"/>
              </w:rPr>
              <w:t xml:space="preserve"> empleos (6.8%), compuesto </w:t>
            </w:r>
            <w:r w:rsidR="005F185C" w:rsidRPr="005F185C">
              <w:rPr>
                <w:rFonts w:ascii="Museo Sans 300" w:hAnsi="Museo Sans 300"/>
                <w:sz w:val="22"/>
                <w:szCs w:val="22"/>
                <w:lang w:val="es-MX"/>
              </w:rPr>
              <w:t xml:space="preserve">principalmente </w:t>
            </w:r>
            <w:r w:rsidRPr="005F185C">
              <w:rPr>
                <w:rFonts w:ascii="Museo Sans 300" w:hAnsi="Museo Sans 300"/>
                <w:sz w:val="22"/>
                <w:szCs w:val="22"/>
                <w:lang w:val="es-MX"/>
              </w:rPr>
              <w:t xml:space="preserve">por </w:t>
            </w:r>
            <w:r w:rsidR="005F185C" w:rsidRPr="005F185C">
              <w:rPr>
                <w:rFonts w:ascii="Museo Sans 300" w:hAnsi="Museo Sans 300"/>
                <w:sz w:val="22"/>
                <w:szCs w:val="22"/>
                <w:lang w:val="es-MX"/>
              </w:rPr>
              <w:t xml:space="preserve">un </w:t>
            </w:r>
            <w:r w:rsidRPr="005F185C">
              <w:rPr>
                <w:rFonts w:ascii="Museo Sans 300" w:hAnsi="Museo Sans 300"/>
                <w:sz w:val="22"/>
                <w:szCs w:val="22"/>
                <w:lang w:val="es-MX"/>
              </w:rPr>
              <w:t>incremento de 5</w:t>
            </w:r>
            <w:r w:rsidR="005F185C" w:rsidRPr="005F185C">
              <w:rPr>
                <w:rFonts w:ascii="Museo Sans 300" w:hAnsi="Museo Sans 300"/>
                <w:sz w:val="22"/>
                <w:szCs w:val="22"/>
                <w:lang w:val="es-MX"/>
              </w:rPr>
              <w:t>4,466</w:t>
            </w:r>
            <w:r w:rsidRPr="005F185C">
              <w:rPr>
                <w:rFonts w:ascii="Museo Sans 300" w:hAnsi="Museo Sans 300"/>
                <w:sz w:val="22"/>
                <w:szCs w:val="22"/>
                <w:lang w:val="es-MX"/>
              </w:rPr>
              <w:t xml:space="preserve"> en sector privado. </w:t>
            </w:r>
          </w:p>
          <w:p w14:paraId="059EBB86" w14:textId="77777777" w:rsidR="00ED3C3F" w:rsidRPr="005F185C" w:rsidRDefault="00ED3C3F" w:rsidP="00ED3C3F">
            <w:pPr>
              <w:jc w:val="both"/>
              <w:rPr>
                <w:rFonts w:ascii="Museo Sans 300" w:hAnsi="Museo Sans 300"/>
                <w:sz w:val="22"/>
                <w:szCs w:val="22"/>
                <w:lang w:val="es-MX"/>
              </w:rPr>
            </w:pPr>
          </w:p>
          <w:p w14:paraId="358CC877" w14:textId="77777777" w:rsidR="006A35C9" w:rsidRDefault="006A35C9" w:rsidP="009E5691">
            <w:pPr>
              <w:jc w:val="both"/>
              <w:rPr>
                <w:rFonts w:ascii="Museo Sans 300" w:hAnsi="Museo Sans 300"/>
                <w:sz w:val="22"/>
                <w:szCs w:val="22"/>
                <w:lang w:val="es-MX"/>
              </w:rPr>
            </w:pPr>
            <w:r w:rsidRPr="009E5691">
              <w:rPr>
                <w:rFonts w:ascii="Museo Sans 300" w:hAnsi="Museo Sans 300"/>
                <w:sz w:val="22"/>
                <w:szCs w:val="22"/>
                <w:lang w:val="es-MX"/>
              </w:rPr>
              <w:t>Las exportaciones registraron un total de $3,802.3 millones con una variación anual de 16.8% equivalentes a $546.6 millones, de conformidad a la Clasificación Internacional Industrial Uniforme Revisión 4 (CIIU Rev. 4), se reportan incrementos en las industrias manufactureras por $377.8 millones; en la maquila por $96.7 millones; en agricultura, ganadería silvicultura y pesca por $55.8 millones; y en suministro de electricidad, gas, vapor y aire acondicionado por $18.3 millones</w:t>
            </w:r>
            <w:r w:rsidR="009E5691" w:rsidRPr="009E5691">
              <w:rPr>
                <w:rFonts w:ascii="Museo Sans 300" w:hAnsi="Museo Sans 300"/>
                <w:sz w:val="22"/>
                <w:szCs w:val="22"/>
                <w:lang w:val="es-MX"/>
              </w:rPr>
              <w:t>.</w:t>
            </w:r>
          </w:p>
          <w:p w14:paraId="74F34D53" w14:textId="77777777" w:rsidR="00152F95" w:rsidRPr="009E5691" w:rsidRDefault="00152F95" w:rsidP="009E5691">
            <w:pPr>
              <w:jc w:val="both"/>
              <w:rPr>
                <w:rFonts w:ascii="Museo Sans 300" w:hAnsi="Museo Sans 300"/>
                <w:sz w:val="22"/>
                <w:szCs w:val="22"/>
                <w:lang w:val="es-MX"/>
              </w:rPr>
            </w:pPr>
          </w:p>
          <w:p w14:paraId="34EA7006" w14:textId="77777777" w:rsidR="009E5691" w:rsidRDefault="009E5691" w:rsidP="009E5691">
            <w:pPr>
              <w:jc w:val="both"/>
              <w:rPr>
                <w:rFonts w:ascii="Museo Sans 300" w:hAnsi="Museo Sans 300"/>
                <w:sz w:val="22"/>
                <w:szCs w:val="22"/>
                <w:lang w:val="es-MX"/>
              </w:rPr>
            </w:pPr>
            <w:r w:rsidRPr="009E5691">
              <w:rPr>
                <w:rFonts w:ascii="Museo Sans 300" w:hAnsi="Museo Sans 300"/>
                <w:sz w:val="22"/>
                <w:szCs w:val="22"/>
                <w:lang w:val="es-MX"/>
              </w:rPr>
              <w:t xml:space="preserve">Las importaciones ascendieron a $8,934.4 millones, aumentando en 27.2% ($1,908.6 millones), según su clasificación económica, se registró por rubros el comportamiento siguiente: las importaciones de bienes de consumo incrementaron 19.6% ($527.0 millones); los bienes intermedios incrementaron en 38.2% ($1,067.3 millones); los bienes de capital reflejaron un aumento de 18.5% ($220.4 millones); y la maquila registro un aumento de 26.8% ($93.8 millones). </w:t>
            </w:r>
          </w:p>
          <w:p w14:paraId="20D86E39" w14:textId="77777777" w:rsidR="00152F95" w:rsidRPr="009E5691" w:rsidRDefault="00152F95" w:rsidP="009E5691">
            <w:pPr>
              <w:jc w:val="both"/>
              <w:rPr>
                <w:rFonts w:ascii="Museo Sans 300" w:hAnsi="Museo Sans 300"/>
                <w:sz w:val="22"/>
                <w:szCs w:val="22"/>
                <w:lang w:val="es-MX"/>
              </w:rPr>
            </w:pPr>
          </w:p>
          <w:p w14:paraId="2A094498" w14:textId="77777777" w:rsidR="009E5691" w:rsidRDefault="009E5691" w:rsidP="009E5691">
            <w:pPr>
              <w:jc w:val="both"/>
              <w:rPr>
                <w:rFonts w:ascii="Museo Sans 300" w:hAnsi="Museo Sans 300"/>
                <w:sz w:val="22"/>
                <w:szCs w:val="22"/>
                <w:lang w:val="es-MX"/>
              </w:rPr>
            </w:pPr>
            <w:r w:rsidRPr="009E5691">
              <w:rPr>
                <w:rFonts w:ascii="Museo Sans 300" w:hAnsi="Museo Sans 300"/>
                <w:sz w:val="22"/>
                <w:szCs w:val="22"/>
                <w:lang w:val="es-MX"/>
              </w:rPr>
              <w:t xml:space="preserve">Las Remesas familiares acumularon un monto de $3,778.7 millones, con un incremento anual de $129.0 millones equivalentes a 3.5%. </w:t>
            </w:r>
          </w:p>
          <w:p w14:paraId="4099446D" w14:textId="77777777" w:rsidR="00152F95" w:rsidRPr="009E5691" w:rsidRDefault="00152F95" w:rsidP="009E5691">
            <w:pPr>
              <w:jc w:val="both"/>
              <w:rPr>
                <w:rFonts w:ascii="Museo Sans 300" w:hAnsi="Museo Sans 300"/>
                <w:sz w:val="22"/>
                <w:szCs w:val="22"/>
                <w:lang w:val="es-MX"/>
              </w:rPr>
            </w:pPr>
          </w:p>
          <w:p w14:paraId="52E2CED5" w14:textId="77777777" w:rsidR="009E5691" w:rsidRDefault="009E5691" w:rsidP="009E5691">
            <w:pPr>
              <w:jc w:val="both"/>
              <w:rPr>
                <w:rFonts w:ascii="Museo Sans 300" w:hAnsi="Museo Sans 300"/>
                <w:sz w:val="22"/>
                <w:szCs w:val="22"/>
                <w:lang w:val="es-MX"/>
              </w:rPr>
            </w:pPr>
            <w:r w:rsidRPr="009E5691">
              <w:rPr>
                <w:rFonts w:ascii="Museo Sans 300" w:hAnsi="Museo Sans 300"/>
                <w:sz w:val="22"/>
                <w:szCs w:val="22"/>
                <w:lang w:val="es-MX"/>
              </w:rPr>
              <w:t xml:space="preserve">La factura petrolera alcanzó un total de $1,361.3 millones (reportándose un crecimiento inter anual de $529.5 millones equivalente a 63.7%), y el monto total de la factura representa el 15.2% del total de las importaciones; por su parte el volumen registró 1,488.4 millones de Kilogramos resultando un incremento del 7.0% equivalentes a 98.0 millones de kilogramos. </w:t>
            </w:r>
          </w:p>
          <w:p w14:paraId="622594EC" w14:textId="77777777" w:rsidR="00152F95" w:rsidRPr="009E5691" w:rsidRDefault="00152F95" w:rsidP="009E5691">
            <w:pPr>
              <w:jc w:val="both"/>
              <w:rPr>
                <w:rFonts w:ascii="Museo Sans 300" w:hAnsi="Museo Sans 300"/>
                <w:sz w:val="22"/>
                <w:szCs w:val="22"/>
                <w:lang w:val="es-MX"/>
              </w:rPr>
            </w:pPr>
          </w:p>
          <w:p w14:paraId="56CF0FE1" w14:textId="77777777" w:rsidR="009E5691" w:rsidRDefault="009E5691" w:rsidP="009E5691">
            <w:pPr>
              <w:jc w:val="both"/>
              <w:rPr>
                <w:rFonts w:ascii="Museo Sans 300" w:hAnsi="Museo Sans 300"/>
                <w:sz w:val="22"/>
                <w:szCs w:val="22"/>
                <w:lang w:val="es-MX"/>
              </w:rPr>
            </w:pPr>
            <w:r w:rsidRPr="009E5691">
              <w:rPr>
                <w:rFonts w:ascii="Museo Sans 300" w:hAnsi="Museo Sans 300"/>
                <w:sz w:val="22"/>
                <w:szCs w:val="22"/>
                <w:lang w:val="es-MX"/>
              </w:rPr>
              <w:t>En el sector financiero (al mes de junio) se reportó una tasa de interés activa de 6.18% menor que la del año anterior en 16 puntos base. Por su parte, tasa básica pasiva se ubicó en 4.45% mayor que la del año anterior en 53 puntos base.</w:t>
            </w:r>
          </w:p>
          <w:p w14:paraId="60A10506" w14:textId="77777777" w:rsidR="00152F95" w:rsidRPr="009E5691" w:rsidRDefault="00152F95" w:rsidP="009E5691">
            <w:pPr>
              <w:jc w:val="both"/>
              <w:rPr>
                <w:rFonts w:ascii="Museo Sans 300" w:hAnsi="Museo Sans 300"/>
                <w:sz w:val="22"/>
                <w:szCs w:val="22"/>
                <w:lang w:val="es-MX"/>
              </w:rPr>
            </w:pPr>
          </w:p>
          <w:p w14:paraId="1C4AB2AA" w14:textId="77777777" w:rsidR="005F185C" w:rsidRPr="005F185C" w:rsidRDefault="005F185C" w:rsidP="009E2D84">
            <w:pPr>
              <w:jc w:val="both"/>
              <w:rPr>
                <w:rFonts w:ascii="Museo Sans 300" w:hAnsi="Museo Sans 300"/>
                <w:sz w:val="22"/>
                <w:szCs w:val="22"/>
                <w:lang w:val="es-MX"/>
              </w:rPr>
            </w:pPr>
            <w:r w:rsidRPr="005F185C">
              <w:rPr>
                <w:rFonts w:ascii="Museo Sans 300" w:hAnsi="Museo Sans 300"/>
                <w:sz w:val="22"/>
                <w:szCs w:val="22"/>
                <w:lang w:val="es-MX"/>
              </w:rPr>
              <w:t xml:space="preserve">El saldo </w:t>
            </w:r>
            <w:bookmarkStart w:id="12" w:name="_Hlk93648108"/>
            <w:r w:rsidRPr="005F185C">
              <w:rPr>
                <w:rFonts w:ascii="Museo Sans 300" w:hAnsi="Museo Sans 300"/>
                <w:sz w:val="22"/>
                <w:szCs w:val="22"/>
                <w:lang w:val="es-MX"/>
              </w:rPr>
              <w:t xml:space="preserve">de la cartera préstamo </w:t>
            </w:r>
            <w:bookmarkEnd w:id="12"/>
            <w:r w:rsidRPr="005F185C">
              <w:rPr>
                <w:rFonts w:ascii="Museo Sans 300" w:hAnsi="Museo Sans 300"/>
                <w:sz w:val="22"/>
                <w:szCs w:val="22"/>
                <w:lang w:val="es-MX"/>
              </w:rPr>
              <w:t>(Bancos, Bancos Cooperativos y Sociedades de Ahorro y Crédito) por sector económico al 30 de junio de 2022 fue de $16,783.3 millones, registrando un crecimiento anual de 9.7% ($1,477.2 millones). Los sectores que reportaron mayores saldos fueron: consumo; adquisición de vivienda; comercio; industria; y servicios, los cuales acumularon un 81.6% del saldo total.</w:t>
            </w:r>
          </w:p>
          <w:p w14:paraId="78B4E46B" w14:textId="77777777" w:rsidR="005F185C" w:rsidRPr="005F185C" w:rsidRDefault="005F185C" w:rsidP="009E5691">
            <w:pPr>
              <w:jc w:val="both"/>
              <w:rPr>
                <w:rFonts w:ascii="Museo Sans 300" w:hAnsi="Museo Sans 300"/>
                <w:sz w:val="22"/>
                <w:szCs w:val="22"/>
              </w:rPr>
            </w:pPr>
          </w:p>
          <w:bookmarkEnd w:id="10"/>
          <w:p w14:paraId="4EABD3B5" w14:textId="77777777" w:rsidR="00CE25E7" w:rsidRPr="00CD1FD1" w:rsidRDefault="00CE25E7" w:rsidP="009E5691">
            <w:pPr>
              <w:jc w:val="both"/>
              <w:rPr>
                <w:rFonts w:ascii="Museo Sans 300" w:hAnsi="Museo Sans 300"/>
                <w:sz w:val="22"/>
                <w:szCs w:val="22"/>
                <w:lang w:val="es-MX"/>
              </w:rPr>
            </w:pPr>
          </w:p>
          <w:p w14:paraId="30E5A3E4" w14:textId="77777777" w:rsidR="00334A38" w:rsidRPr="00CD1FD1" w:rsidRDefault="00334A38" w:rsidP="009E5691">
            <w:pPr>
              <w:jc w:val="both"/>
              <w:rPr>
                <w:rFonts w:ascii="Museo Sans 300" w:hAnsi="Museo Sans 300"/>
                <w:sz w:val="22"/>
                <w:szCs w:val="22"/>
                <w:lang w:val="es-MX"/>
              </w:rPr>
            </w:pPr>
          </w:p>
          <w:p w14:paraId="74CD3333" w14:textId="77777777" w:rsidR="0019773D" w:rsidRPr="00CD1FD1" w:rsidRDefault="0019773D" w:rsidP="009E5691">
            <w:pPr>
              <w:jc w:val="both"/>
              <w:rPr>
                <w:rFonts w:ascii="Museo Sans 300" w:hAnsi="Museo Sans 300"/>
                <w:sz w:val="22"/>
                <w:szCs w:val="22"/>
                <w:lang w:val="es-MX"/>
              </w:rPr>
            </w:pPr>
          </w:p>
          <w:p w14:paraId="7F320F67" w14:textId="77777777" w:rsidR="006B1211" w:rsidRPr="00CD1FD1" w:rsidRDefault="006B1211" w:rsidP="009E5691">
            <w:pPr>
              <w:jc w:val="both"/>
              <w:rPr>
                <w:rFonts w:ascii="Museo Sans 300" w:hAnsi="Museo Sans 300"/>
                <w:sz w:val="22"/>
                <w:szCs w:val="22"/>
                <w:lang w:val="es-MX"/>
              </w:rPr>
            </w:pPr>
          </w:p>
          <w:p w14:paraId="3E85E791" w14:textId="77777777" w:rsidR="00BE249D" w:rsidRPr="00CD1FD1" w:rsidRDefault="00BE249D" w:rsidP="009E5691">
            <w:pPr>
              <w:jc w:val="both"/>
              <w:rPr>
                <w:rFonts w:ascii="Museo Sans 300" w:hAnsi="Museo Sans 300"/>
                <w:sz w:val="22"/>
                <w:szCs w:val="22"/>
                <w:lang w:val="es-MX"/>
              </w:rPr>
            </w:pPr>
          </w:p>
          <w:p w14:paraId="321176F9" w14:textId="77777777" w:rsidR="00BE249D" w:rsidRDefault="00BE249D" w:rsidP="009E5691">
            <w:pPr>
              <w:jc w:val="both"/>
              <w:rPr>
                <w:rFonts w:ascii="Museo Sans 300" w:hAnsi="Museo Sans 300"/>
                <w:sz w:val="22"/>
                <w:szCs w:val="22"/>
                <w:lang w:val="es-MX"/>
              </w:rPr>
            </w:pPr>
          </w:p>
          <w:p w14:paraId="630E0B5E" w14:textId="77777777" w:rsidR="009E5691" w:rsidRDefault="009E5691" w:rsidP="009E5691">
            <w:pPr>
              <w:jc w:val="both"/>
              <w:rPr>
                <w:rFonts w:ascii="Museo Sans 300" w:hAnsi="Museo Sans 300"/>
                <w:sz w:val="22"/>
                <w:szCs w:val="22"/>
                <w:lang w:val="es-MX"/>
              </w:rPr>
            </w:pPr>
          </w:p>
          <w:p w14:paraId="2CD6F7FB" w14:textId="77777777" w:rsidR="00CA038A" w:rsidRDefault="00CA038A" w:rsidP="009E5691">
            <w:pPr>
              <w:jc w:val="both"/>
              <w:rPr>
                <w:sz w:val="22"/>
                <w:szCs w:val="22"/>
              </w:rPr>
            </w:pPr>
          </w:p>
          <w:p w14:paraId="4DF42210" w14:textId="77777777" w:rsidR="00CA038A" w:rsidRDefault="00CA038A" w:rsidP="009E5691">
            <w:pPr>
              <w:jc w:val="both"/>
              <w:rPr>
                <w:sz w:val="22"/>
                <w:szCs w:val="22"/>
              </w:rPr>
            </w:pPr>
          </w:p>
          <w:p w14:paraId="29CB9D66" w14:textId="77777777" w:rsidR="00CA038A" w:rsidRDefault="00CA038A" w:rsidP="009E5691">
            <w:pPr>
              <w:jc w:val="both"/>
              <w:rPr>
                <w:sz w:val="22"/>
                <w:szCs w:val="22"/>
              </w:rPr>
            </w:pPr>
          </w:p>
          <w:p w14:paraId="036226E1" w14:textId="77777777" w:rsidR="00CA038A" w:rsidRDefault="00CA038A" w:rsidP="009E5691">
            <w:pPr>
              <w:jc w:val="both"/>
              <w:rPr>
                <w:sz w:val="22"/>
                <w:szCs w:val="22"/>
              </w:rPr>
            </w:pPr>
          </w:p>
          <w:p w14:paraId="677A2A87" w14:textId="77777777" w:rsidR="00CA038A" w:rsidRDefault="00CA038A" w:rsidP="009E5691">
            <w:pPr>
              <w:jc w:val="both"/>
              <w:rPr>
                <w:sz w:val="22"/>
                <w:szCs w:val="22"/>
              </w:rPr>
            </w:pPr>
          </w:p>
          <w:p w14:paraId="54BE5E00" w14:textId="77777777" w:rsidR="00CA038A" w:rsidRDefault="00CA038A" w:rsidP="009E5691">
            <w:pPr>
              <w:jc w:val="both"/>
              <w:rPr>
                <w:sz w:val="22"/>
                <w:szCs w:val="22"/>
              </w:rPr>
            </w:pPr>
          </w:p>
          <w:p w14:paraId="2629017D" w14:textId="77777777" w:rsidR="00CA038A" w:rsidRDefault="00CA038A" w:rsidP="009E5691">
            <w:pPr>
              <w:jc w:val="both"/>
              <w:rPr>
                <w:sz w:val="22"/>
                <w:szCs w:val="22"/>
              </w:rPr>
            </w:pPr>
          </w:p>
          <w:p w14:paraId="0E2AE9EF" w14:textId="77777777" w:rsidR="00CA038A" w:rsidRDefault="00CA038A" w:rsidP="009E5691">
            <w:pPr>
              <w:jc w:val="both"/>
              <w:rPr>
                <w:sz w:val="22"/>
                <w:szCs w:val="22"/>
              </w:rPr>
            </w:pPr>
          </w:p>
          <w:p w14:paraId="1F5D4148" w14:textId="77777777" w:rsidR="00CA038A" w:rsidRDefault="00CA038A" w:rsidP="009E5691">
            <w:pPr>
              <w:jc w:val="both"/>
              <w:rPr>
                <w:sz w:val="22"/>
                <w:szCs w:val="22"/>
              </w:rPr>
            </w:pPr>
          </w:p>
          <w:p w14:paraId="579E1742" w14:textId="77777777" w:rsidR="00CA038A" w:rsidRDefault="00CA038A" w:rsidP="009E5691">
            <w:pPr>
              <w:jc w:val="both"/>
              <w:rPr>
                <w:sz w:val="22"/>
                <w:szCs w:val="22"/>
              </w:rPr>
            </w:pPr>
          </w:p>
          <w:p w14:paraId="66EF3057" w14:textId="77777777" w:rsidR="00CA038A" w:rsidRDefault="00CA038A" w:rsidP="009E5691">
            <w:pPr>
              <w:jc w:val="both"/>
              <w:rPr>
                <w:sz w:val="22"/>
                <w:szCs w:val="22"/>
              </w:rPr>
            </w:pPr>
          </w:p>
          <w:p w14:paraId="011E72FE" w14:textId="77777777" w:rsidR="00CA038A" w:rsidRDefault="00CA038A" w:rsidP="009E5691">
            <w:pPr>
              <w:jc w:val="both"/>
              <w:rPr>
                <w:sz w:val="22"/>
                <w:szCs w:val="22"/>
              </w:rPr>
            </w:pPr>
          </w:p>
          <w:p w14:paraId="082E37A5" w14:textId="77777777" w:rsidR="00CA038A" w:rsidRDefault="00CA038A" w:rsidP="009E5691">
            <w:pPr>
              <w:jc w:val="both"/>
              <w:rPr>
                <w:sz w:val="22"/>
                <w:szCs w:val="22"/>
              </w:rPr>
            </w:pPr>
          </w:p>
          <w:p w14:paraId="70195F59" w14:textId="77777777" w:rsidR="00CA038A" w:rsidRDefault="00CA038A" w:rsidP="009E5691">
            <w:pPr>
              <w:jc w:val="both"/>
              <w:rPr>
                <w:sz w:val="22"/>
                <w:szCs w:val="22"/>
              </w:rPr>
            </w:pPr>
          </w:p>
          <w:p w14:paraId="186BDDB2" w14:textId="77777777" w:rsidR="00CA038A" w:rsidRDefault="00CA038A" w:rsidP="009E5691">
            <w:pPr>
              <w:jc w:val="both"/>
              <w:rPr>
                <w:sz w:val="22"/>
                <w:szCs w:val="22"/>
              </w:rPr>
            </w:pPr>
          </w:p>
          <w:p w14:paraId="7D24B75F" w14:textId="77777777" w:rsidR="00CA038A" w:rsidRDefault="00CA038A" w:rsidP="009E5691">
            <w:pPr>
              <w:jc w:val="both"/>
              <w:rPr>
                <w:sz w:val="22"/>
                <w:szCs w:val="22"/>
              </w:rPr>
            </w:pPr>
          </w:p>
          <w:p w14:paraId="049BC32F" w14:textId="77777777" w:rsidR="00CA038A" w:rsidRDefault="00CA038A" w:rsidP="009E5691">
            <w:pPr>
              <w:jc w:val="both"/>
              <w:rPr>
                <w:sz w:val="22"/>
                <w:szCs w:val="22"/>
              </w:rPr>
            </w:pPr>
          </w:p>
          <w:p w14:paraId="669B855D" w14:textId="77777777" w:rsidR="00CA038A" w:rsidRDefault="00CA038A" w:rsidP="009E5691">
            <w:pPr>
              <w:jc w:val="both"/>
              <w:rPr>
                <w:sz w:val="22"/>
                <w:szCs w:val="22"/>
              </w:rPr>
            </w:pPr>
          </w:p>
          <w:p w14:paraId="77582FD3" w14:textId="77777777" w:rsidR="00C82A86" w:rsidRDefault="00C82A86" w:rsidP="009E5691">
            <w:pPr>
              <w:jc w:val="both"/>
              <w:rPr>
                <w:sz w:val="22"/>
                <w:szCs w:val="22"/>
              </w:rPr>
            </w:pPr>
          </w:p>
          <w:p w14:paraId="0D2FB933" w14:textId="77777777" w:rsidR="00C82A86" w:rsidRDefault="00C82A86" w:rsidP="009E5691">
            <w:pPr>
              <w:jc w:val="both"/>
              <w:rPr>
                <w:sz w:val="22"/>
                <w:szCs w:val="22"/>
              </w:rPr>
            </w:pPr>
          </w:p>
          <w:p w14:paraId="7AE0A3A1" w14:textId="77777777" w:rsidR="00CA038A" w:rsidRPr="00CD1FD1" w:rsidRDefault="00CA038A" w:rsidP="009E5691">
            <w:pPr>
              <w:jc w:val="both"/>
              <w:rPr>
                <w:rFonts w:ascii="Museo Sans 300" w:hAnsi="Museo Sans 300"/>
                <w:sz w:val="22"/>
                <w:szCs w:val="22"/>
                <w:lang w:val="es-MX"/>
              </w:rPr>
            </w:pPr>
          </w:p>
          <w:p w14:paraId="16F249FB" w14:textId="77777777" w:rsidR="006B1211" w:rsidRPr="009E5691" w:rsidRDefault="006B1211" w:rsidP="009E5691">
            <w:pPr>
              <w:jc w:val="both"/>
              <w:rPr>
                <w:rFonts w:ascii="Museo Sans 300" w:hAnsi="Museo Sans 300"/>
                <w:sz w:val="22"/>
                <w:szCs w:val="22"/>
                <w:lang w:val="es-MX"/>
              </w:rPr>
            </w:pPr>
          </w:p>
          <w:p w14:paraId="680CEAA3" w14:textId="77777777" w:rsidR="00D540FA" w:rsidRPr="003D15B7" w:rsidRDefault="006B1211" w:rsidP="003D15B7">
            <w:pPr>
              <w:pStyle w:val="Ttulo2"/>
              <w:rPr>
                <w:rFonts w:ascii="Museo Sans 300" w:hAnsi="Museo Sans 300"/>
                <w:sz w:val="24"/>
                <w:szCs w:val="24"/>
                <w:lang w:val="es-MX"/>
              </w:rPr>
            </w:pPr>
            <w:bookmarkStart w:id="13" w:name="_Toc116389131"/>
            <w:r w:rsidRPr="003D15B7">
              <w:rPr>
                <w:rFonts w:ascii="Museo Sans 300" w:hAnsi="Museo Sans 300"/>
                <w:sz w:val="24"/>
                <w:szCs w:val="24"/>
                <w:lang w:val="es-MX"/>
              </w:rPr>
              <w:lastRenderedPageBreak/>
              <w:t>GESTION</w:t>
            </w:r>
            <w:r w:rsidR="00D540FA" w:rsidRPr="003D15B7">
              <w:rPr>
                <w:rFonts w:ascii="Museo Sans 300" w:hAnsi="Museo Sans 300"/>
                <w:sz w:val="24"/>
                <w:szCs w:val="24"/>
                <w:lang w:val="es-MX"/>
              </w:rPr>
              <w:t xml:space="preserve"> DE LAS FINANZAS PÚBLICAS</w:t>
            </w:r>
            <w:bookmarkEnd w:id="4"/>
            <w:bookmarkEnd w:id="3"/>
            <w:bookmarkEnd w:id="2"/>
            <w:bookmarkEnd w:id="13"/>
          </w:p>
          <w:p w14:paraId="529261DB" w14:textId="77777777" w:rsidR="0034685B" w:rsidRPr="00CD1FD1" w:rsidRDefault="0034685B" w:rsidP="009E5691">
            <w:pPr>
              <w:jc w:val="both"/>
              <w:rPr>
                <w:rFonts w:ascii="Museo Sans 300" w:hAnsi="Museo Sans 300"/>
                <w:sz w:val="22"/>
                <w:szCs w:val="22"/>
                <w:lang w:val="es-MX"/>
              </w:rPr>
            </w:pPr>
            <w:bookmarkStart w:id="14" w:name="_Toc411843460"/>
          </w:p>
          <w:p w14:paraId="54C0E4F3" w14:textId="77777777" w:rsidR="00D540FA" w:rsidRPr="003D15B7" w:rsidRDefault="009B117C" w:rsidP="00377659">
            <w:pPr>
              <w:pStyle w:val="Ttulo2"/>
              <w:rPr>
                <w:rFonts w:ascii="Museo Sans 300" w:hAnsi="Museo Sans 300"/>
                <w:sz w:val="24"/>
                <w:szCs w:val="24"/>
                <w:lang w:val="es-MX"/>
              </w:rPr>
            </w:pPr>
            <w:bookmarkStart w:id="15" w:name="_Toc505951454"/>
            <w:bookmarkStart w:id="16" w:name="_Toc56581204"/>
            <w:bookmarkStart w:id="17" w:name="_Toc116389132"/>
            <w:r w:rsidRPr="003D15B7">
              <w:rPr>
                <w:rFonts w:ascii="Museo Sans 300" w:hAnsi="Museo Sans 300"/>
                <w:sz w:val="24"/>
                <w:szCs w:val="24"/>
                <w:lang w:val="es-MX"/>
              </w:rPr>
              <w:t xml:space="preserve">1. </w:t>
            </w:r>
            <w:r w:rsidR="00D540FA" w:rsidRPr="003D15B7">
              <w:rPr>
                <w:rFonts w:ascii="Museo Sans 300" w:hAnsi="Museo Sans 300"/>
                <w:sz w:val="24"/>
                <w:szCs w:val="24"/>
                <w:lang w:val="es-MX"/>
              </w:rPr>
              <w:t>Ingresos Totales</w:t>
            </w:r>
            <w:bookmarkEnd w:id="14"/>
            <w:bookmarkEnd w:id="15"/>
            <w:r w:rsidR="00B2286A" w:rsidRPr="003D15B7">
              <w:rPr>
                <w:rFonts w:ascii="Museo Sans 300" w:hAnsi="Museo Sans 300"/>
                <w:sz w:val="24"/>
                <w:szCs w:val="24"/>
                <w:lang w:val="es-MX"/>
              </w:rPr>
              <w:t xml:space="preserve"> del SPNF</w:t>
            </w:r>
            <w:r w:rsidR="00912173" w:rsidRPr="003D15B7">
              <w:rPr>
                <w:rFonts w:ascii="Museo Sans 300" w:hAnsi="Museo Sans 300"/>
                <w:sz w:val="24"/>
                <w:szCs w:val="24"/>
                <w:lang w:val="es-MX"/>
              </w:rPr>
              <w:t xml:space="preserve"> (ver anexo 3)</w:t>
            </w:r>
            <w:r w:rsidR="00B2286A" w:rsidRPr="003D15B7">
              <w:rPr>
                <w:rFonts w:ascii="Museo Sans 300" w:hAnsi="Museo Sans 300"/>
                <w:sz w:val="24"/>
                <w:szCs w:val="24"/>
                <w:lang w:val="es-MX"/>
              </w:rPr>
              <w:t>.</w:t>
            </w:r>
            <w:bookmarkEnd w:id="16"/>
            <w:bookmarkEnd w:id="17"/>
          </w:p>
          <w:p w14:paraId="071C28AE" w14:textId="77777777" w:rsidR="00D540FA" w:rsidRPr="00CD1FD1" w:rsidRDefault="00D540FA" w:rsidP="009E5691">
            <w:pPr>
              <w:jc w:val="both"/>
              <w:rPr>
                <w:rFonts w:ascii="Museo Sans 300" w:hAnsi="Museo Sans 300"/>
                <w:sz w:val="22"/>
                <w:szCs w:val="22"/>
                <w:lang w:val="es-MX"/>
              </w:rPr>
            </w:pPr>
          </w:p>
          <w:p w14:paraId="5E514BFD" w14:textId="77777777" w:rsidR="009E5691" w:rsidRPr="009E5691" w:rsidRDefault="009E5691" w:rsidP="009E5691">
            <w:pPr>
              <w:jc w:val="both"/>
              <w:rPr>
                <w:rFonts w:ascii="Museo Sans 300" w:hAnsi="Museo Sans 300"/>
                <w:sz w:val="22"/>
                <w:szCs w:val="22"/>
                <w:lang w:val="es-MX"/>
              </w:rPr>
            </w:pPr>
            <w:r w:rsidRPr="009E5691">
              <w:rPr>
                <w:rFonts w:ascii="Museo Sans 300" w:hAnsi="Museo Sans 300"/>
                <w:sz w:val="22"/>
                <w:szCs w:val="22"/>
                <w:lang w:val="es-MX"/>
              </w:rPr>
              <w:t>Los ingresos totales a junio de 2022 ascendieron a $4,242.9 millones,</w:t>
            </w:r>
            <w:r>
              <w:rPr>
                <w:rFonts w:ascii="Museo Sans 300" w:hAnsi="Museo Sans 300"/>
                <w:sz w:val="22"/>
                <w:szCs w:val="22"/>
                <w:lang w:val="es-MX"/>
              </w:rPr>
              <w:t xml:space="preserve"> </w:t>
            </w:r>
            <w:r w:rsidRPr="009E5691">
              <w:rPr>
                <w:rFonts w:ascii="Museo Sans 300" w:hAnsi="Museo Sans 300"/>
                <w:sz w:val="22"/>
                <w:szCs w:val="22"/>
                <w:lang w:val="es-MX"/>
              </w:rPr>
              <w:t>mostrando un crecimiento de 18.1%, equivalente a $649.5 millones, respecto a junio de 2021, debido principalmente al aumento en los Ingresos Tributarios por $583.7 millones</w:t>
            </w:r>
            <w:r w:rsidR="00C82A86">
              <w:rPr>
                <w:rFonts w:ascii="Museo Sans 300" w:hAnsi="Museo Sans 300"/>
                <w:sz w:val="22"/>
                <w:szCs w:val="22"/>
                <w:lang w:val="es-MX"/>
              </w:rPr>
              <w:t>.</w:t>
            </w:r>
            <w:r w:rsidRPr="009E5691">
              <w:rPr>
                <w:rFonts w:ascii="Museo Sans 300" w:hAnsi="Museo Sans 300"/>
                <w:sz w:val="22"/>
                <w:szCs w:val="22"/>
                <w:lang w:val="es-MX"/>
              </w:rPr>
              <w:t xml:space="preserve"> </w:t>
            </w:r>
          </w:p>
          <w:p w14:paraId="6FDD0C43" w14:textId="77777777" w:rsidR="009E5691" w:rsidRPr="009E5691" w:rsidRDefault="009E5691" w:rsidP="009E5691">
            <w:pPr>
              <w:jc w:val="both"/>
              <w:rPr>
                <w:rFonts w:ascii="Museo Sans 300" w:hAnsi="Museo Sans 300"/>
                <w:sz w:val="22"/>
                <w:szCs w:val="22"/>
                <w:lang w:val="es-MX"/>
              </w:rPr>
            </w:pPr>
          </w:p>
          <w:p w14:paraId="0E2C6100" w14:textId="77777777" w:rsidR="009E5691" w:rsidRPr="009E5691" w:rsidRDefault="009E5691" w:rsidP="009E5691">
            <w:pPr>
              <w:ind w:right="-34"/>
              <w:jc w:val="both"/>
              <w:rPr>
                <w:rFonts w:ascii="Museo Sans 300" w:hAnsi="Museo Sans 300"/>
                <w:sz w:val="22"/>
                <w:szCs w:val="22"/>
                <w:lang w:val="es-MX"/>
              </w:rPr>
            </w:pPr>
            <w:r w:rsidRPr="009E5691">
              <w:rPr>
                <w:rFonts w:ascii="Museo Sans 300" w:hAnsi="Museo Sans 300"/>
                <w:sz w:val="22"/>
                <w:szCs w:val="22"/>
                <w:lang w:val="es-MX"/>
              </w:rPr>
              <w:t>Como porcentaje del PIB, los ingresos totales representaron 13.6%, resultado superior en 1.1 puntos porcentuales al obtenido en 2021.</w:t>
            </w:r>
          </w:p>
          <w:p w14:paraId="5791FDD0" w14:textId="77777777" w:rsidR="009E5691" w:rsidRPr="009E5691" w:rsidRDefault="009E5691" w:rsidP="009E5691">
            <w:pPr>
              <w:pStyle w:val="Default"/>
              <w:jc w:val="both"/>
              <w:rPr>
                <w:rFonts w:ascii="Museo Sans 300" w:hAnsi="Museo Sans 300" w:cs="Times New Roman"/>
                <w:color w:val="auto"/>
                <w:sz w:val="22"/>
                <w:szCs w:val="22"/>
                <w:lang w:val="es-MX" w:eastAsia="es-ES"/>
              </w:rPr>
            </w:pPr>
          </w:p>
          <w:p w14:paraId="16C2F2FA" w14:textId="77777777" w:rsidR="009E5691" w:rsidRPr="009E5691" w:rsidRDefault="009E5691" w:rsidP="009E5691">
            <w:pPr>
              <w:jc w:val="both"/>
              <w:rPr>
                <w:rFonts w:ascii="Museo Sans 300" w:hAnsi="Museo Sans 300"/>
                <w:sz w:val="22"/>
                <w:szCs w:val="22"/>
                <w:lang w:val="es-ES"/>
              </w:rPr>
            </w:pPr>
          </w:p>
          <w:p w14:paraId="4FF00F33" w14:textId="77777777" w:rsidR="00D540FA" w:rsidRPr="00CD1FD1" w:rsidRDefault="00D540FA" w:rsidP="003D15B7">
            <w:pPr>
              <w:jc w:val="center"/>
              <w:rPr>
                <w:rFonts w:ascii="Museo Sans 300" w:hAnsi="Museo Sans 300"/>
                <w:sz w:val="22"/>
                <w:szCs w:val="22"/>
                <w:lang w:val="es-MX"/>
              </w:rPr>
            </w:pPr>
            <w:r w:rsidRPr="00CD1FD1">
              <w:rPr>
                <w:rFonts w:ascii="Museo Sans 300" w:hAnsi="Museo Sans 300"/>
                <w:sz w:val="22"/>
                <w:szCs w:val="22"/>
                <w:lang w:val="es-MX"/>
              </w:rPr>
              <w:t xml:space="preserve">Gráfico 1: Evolución de los Ingresos Totales del SPNF </w:t>
            </w:r>
            <w:r w:rsidR="00F05512"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Pr="00CD1FD1">
              <w:rPr>
                <w:rFonts w:ascii="Museo Sans 300" w:hAnsi="Museo Sans 300"/>
                <w:sz w:val="22"/>
                <w:szCs w:val="22"/>
                <w:lang w:val="es-MX"/>
              </w:rPr>
              <w:t xml:space="preserve"> 20</w:t>
            </w:r>
            <w:r w:rsidR="00F616D4" w:rsidRPr="00CD1FD1">
              <w:rPr>
                <w:rFonts w:ascii="Museo Sans 300" w:hAnsi="Museo Sans 300"/>
                <w:sz w:val="22"/>
                <w:szCs w:val="22"/>
                <w:lang w:val="es-MX"/>
              </w:rPr>
              <w:t>14</w:t>
            </w:r>
            <w:r w:rsidRPr="00CD1FD1">
              <w:rPr>
                <w:rFonts w:ascii="Museo Sans 300" w:hAnsi="Museo Sans 300"/>
                <w:sz w:val="22"/>
                <w:szCs w:val="22"/>
                <w:lang w:val="es-MX"/>
              </w:rPr>
              <w:t xml:space="preserve"> -20</w:t>
            </w:r>
            <w:r w:rsidR="00F616D4" w:rsidRPr="00CD1FD1">
              <w:rPr>
                <w:rFonts w:ascii="Museo Sans 300" w:hAnsi="Museo Sans 300"/>
                <w:sz w:val="22"/>
                <w:szCs w:val="22"/>
                <w:lang w:val="es-MX"/>
              </w:rPr>
              <w:t>2</w:t>
            </w:r>
            <w:r w:rsidR="00411F3D" w:rsidRPr="00CD1FD1">
              <w:rPr>
                <w:rFonts w:ascii="Museo Sans 300" w:hAnsi="Museo Sans 300"/>
                <w:sz w:val="22"/>
                <w:szCs w:val="22"/>
                <w:lang w:val="es-MX"/>
              </w:rPr>
              <w:t>2</w:t>
            </w:r>
          </w:p>
          <w:p w14:paraId="47840213" w14:textId="77777777" w:rsidR="00BF745F" w:rsidRPr="00CD1FD1" w:rsidRDefault="00BF745F" w:rsidP="009E5691">
            <w:pPr>
              <w:jc w:val="both"/>
              <w:rPr>
                <w:rFonts w:ascii="Museo Sans 300" w:hAnsi="Museo Sans 300"/>
                <w:sz w:val="22"/>
                <w:szCs w:val="22"/>
                <w:lang w:val="es-MX"/>
              </w:rPr>
            </w:pPr>
          </w:p>
          <w:p w14:paraId="2E5077FB" w14:textId="77777777" w:rsidR="00152F95" w:rsidRDefault="00447D6A" w:rsidP="0000234B">
            <w:pPr>
              <w:jc w:val="center"/>
              <w:rPr>
                <w:rFonts w:ascii="Museo Sans 300" w:hAnsi="Museo Sans 300"/>
                <w:sz w:val="16"/>
                <w:szCs w:val="16"/>
                <w:lang w:val="es-MX"/>
              </w:rPr>
            </w:pPr>
            <w:r w:rsidRPr="00447D6A">
              <w:rPr>
                <w:rFonts w:ascii="Museo Sans 300" w:hAnsi="Museo Sans 300"/>
                <w:noProof/>
                <w:sz w:val="16"/>
                <w:szCs w:val="16"/>
                <w:lang w:val="es-MX"/>
              </w:rPr>
              <w:drawing>
                <wp:inline distT="0" distB="0" distL="0" distR="0" wp14:anchorId="5953AD48" wp14:editId="7A2B7D38">
                  <wp:extent cx="4610476" cy="286942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0633" cy="2881970"/>
                          </a:xfrm>
                          <a:prstGeom prst="rect">
                            <a:avLst/>
                          </a:prstGeom>
                          <a:noFill/>
                          <a:ln>
                            <a:noFill/>
                          </a:ln>
                        </pic:spPr>
                      </pic:pic>
                    </a:graphicData>
                  </a:graphic>
                </wp:inline>
              </w:drawing>
            </w:r>
          </w:p>
          <w:p w14:paraId="6017B34B" w14:textId="77777777" w:rsidR="00D36C9A" w:rsidRPr="009E5691" w:rsidRDefault="00724FE8" w:rsidP="00085CF5">
            <w:pPr>
              <w:jc w:val="both"/>
              <w:rPr>
                <w:rFonts w:ascii="Museo Sans 300" w:hAnsi="Museo Sans 300"/>
                <w:sz w:val="22"/>
                <w:szCs w:val="22"/>
                <w:lang w:val="es-MX"/>
              </w:rPr>
            </w:pPr>
            <w:r>
              <w:rPr>
                <w:rFonts w:ascii="Museo Sans 300" w:hAnsi="Museo Sans 300"/>
                <w:sz w:val="16"/>
                <w:szCs w:val="16"/>
                <w:lang w:val="es-MX"/>
              </w:rPr>
              <w:t xml:space="preserve">                    </w:t>
            </w:r>
            <w:r w:rsidR="00ED3D89" w:rsidRPr="00152F95">
              <w:rPr>
                <w:rFonts w:ascii="Museo Sans 300" w:hAnsi="Museo Sans 300"/>
                <w:sz w:val="16"/>
                <w:szCs w:val="16"/>
                <w:lang w:val="es-MX"/>
              </w:rPr>
              <w:t>Fuente: Ministerio de Hacienda</w:t>
            </w:r>
          </w:p>
        </w:tc>
        <w:tc>
          <w:tcPr>
            <w:tcW w:w="258" w:type="dxa"/>
            <w:tcBorders>
              <w:top w:val="nil"/>
              <w:left w:val="nil"/>
              <w:bottom w:val="nil"/>
              <w:right w:val="nil"/>
            </w:tcBorders>
            <w:shd w:val="clear" w:color="000000" w:fill="FFFFFF"/>
            <w:noWrap/>
            <w:vAlign w:val="bottom"/>
          </w:tcPr>
          <w:p w14:paraId="08463FA8" w14:textId="77777777" w:rsidR="000F2598" w:rsidRPr="00CD1FD1"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0A04C9BB" w14:textId="77777777" w:rsidR="000F2598" w:rsidRPr="00CD1FD1"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74BBB929" w14:textId="77777777" w:rsidR="000F2598" w:rsidRPr="00CD1FD1" w:rsidRDefault="000F2598" w:rsidP="004A685A">
            <w:pPr>
              <w:jc w:val="both"/>
              <w:rPr>
                <w:rFonts w:ascii="Museo Sans 300" w:hAnsi="Museo Sans 300"/>
                <w:sz w:val="22"/>
                <w:szCs w:val="22"/>
                <w:lang w:val="es-MX"/>
              </w:rPr>
            </w:pPr>
          </w:p>
        </w:tc>
        <w:tc>
          <w:tcPr>
            <w:tcW w:w="259" w:type="dxa"/>
            <w:tcBorders>
              <w:top w:val="nil"/>
              <w:left w:val="nil"/>
              <w:bottom w:val="nil"/>
              <w:right w:val="nil"/>
            </w:tcBorders>
            <w:shd w:val="clear" w:color="000000" w:fill="FFFFFF"/>
            <w:noWrap/>
            <w:vAlign w:val="bottom"/>
          </w:tcPr>
          <w:p w14:paraId="60BB5CDE" w14:textId="77777777" w:rsidR="000F2598" w:rsidRPr="00CD1FD1" w:rsidRDefault="000F2598" w:rsidP="004A685A">
            <w:pPr>
              <w:jc w:val="both"/>
              <w:rPr>
                <w:rFonts w:ascii="Museo Sans 300" w:hAnsi="Museo Sans 300"/>
                <w:sz w:val="22"/>
                <w:szCs w:val="22"/>
                <w:lang w:val="es-MX"/>
              </w:rPr>
            </w:pPr>
          </w:p>
        </w:tc>
      </w:tr>
    </w:tbl>
    <w:p w14:paraId="40470D75" w14:textId="77777777" w:rsidR="00BE54F5" w:rsidRPr="00CD1FD1" w:rsidRDefault="009B117C" w:rsidP="009B117C">
      <w:pPr>
        <w:pStyle w:val="Ttulo3"/>
        <w:rPr>
          <w:rFonts w:ascii="Museo Sans 300" w:hAnsi="Museo Sans 300"/>
          <w:b/>
          <w:sz w:val="22"/>
          <w:szCs w:val="22"/>
          <w:lang w:val="es-MX"/>
        </w:rPr>
      </w:pPr>
      <w:bookmarkStart w:id="18" w:name="_Toc411843461"/>
      <w:bookmarkStart w:id="19" w:name="_Toc56581205"/>
      <w:bookmarkStart w:id="20" w:name="_Toc116389133"/>
      <w:bookmarkStart w:id="21" w:name="_Toc308681662"/>
      <w:bookmarkStart w:id="22" w:name="_Toc319049208"/>
      <w:bookmarkStart w:id="23" w:name="_Toc388257453"/>
      <w:r w:rsidRPr="00CD1FD1">
        <w:rPr>
          <w:rFonts w:ascii="Museo Sans 300" w:hAnsi="Museo Sans 300"/>
          <w:b/>
          <w:sz w:val="22"/>
          <w:szCs w:val="22"/>
          <w:lang w:val="es-MX"/>
        </w:rPr>
        <w:lastRenderedPageBreak/>
        <w:t xml:space="preserve">1.1 </w:t>
      </w:r>
      <w:r w:rsidR="00BE54F5" w:rsidRPr="00CD1FD1">
        <w:rPr>
          <w:rFonts w:ascii="Museo Sans 300" w:hAnsi="Museo Sans 300"/>
          <w:b/>
          <w:sz w:val="22"/>
          <w:szCs w:val="22"/>
          <w:lang w:val="es-MX"/>
        </w:rPr>
        <w:t xml:space="preserve">Ingresos </w:t>
      </w:r>
      <w:r w:rsidR="00724FE8">
        <w:rPr>
          <w:rFonts w:ascii="Museo Sans 300" w:hAnsi="Museo Sans 300"/>
          <w:b/>
          <w:sz w:val="22"/>
          <w:szCs w:val="22"/>
          <w:lang w:val="es-MX"/>
        </w:rPr>
        <w:t>T</w:t>
      </w:r>
      <w:r w:rsidR="00BE54F5" w:rsidRPr="00CD1FD1">
        <w:rPr>
          <w:rFonts w:ascii="Museo Sans 300" w:hAnsi="Museo Sans 300"/>
          <w:b/>
          <w:sz w:val="22"/>
          <w:szCs w:val="22"/>
          <w:lang w:val="es-MX"/>
        </w:rPr>
        <w:t>ributarios</w:t>
      </w:r>
      <w:bookmarkEnd w:id="18"/>
      <w:bookmarkEnd w:id="19"/>
      <w:r w:rsidR="00912173" w:rsidRPr="00CD1FD1">
        <w:rPr>
          <w:rFonts w:ascii="Museo Sans 300" w:hAnsi="Museo Sans 300"/>
          <w:b/>
          <w:sz w:val="22"/>
          <w:szCs w:val="22"/>
          <w:lang w:val="es-MX"/>
        </w:rPr>
        <w:t xml:space="preserve"> y Contribuciones Especiales</w:t>
      </w:r>
      <w:bookmarkEnd w:id="20"/>
    </w:p>
    <w:p w14:paraId="00DC1D98" w14:textId="77777777" w:rsidR="00BE54F5" w:rsidRPr="00CD1FD1" w:rsidRDefault="00BE54F5" w:rsidP="00BE54F5">
      <w:pPr>
        <w:jc w:val="both"/>
        <w:rPr>
          <w:rFonts w:ascii="Museo Sans 300" w:hAnsi="Museo Sans 300"/>
          <w:sz w:val="22"/>
          <w:szCs w:val="22"/>
          <w:lang w:val="es-MX"/>
        </w:rPr>
      </w:pPr>
    </w:p>
    <w:p w14:paraId="17680CC3" w14:textId="77777777" w:rsidR="00085CF5" w:rsidRPr="00085CF5" w:rsidRDefault="00085CF5" w:rsidP="00A145CB">
      <w:pPr>
        <w:tabs>
          <w:tab w:val="left" w:pos="284"/>
        </w:tabs>
        <w:jc w:val="both"/>
        <w:rPr>
          <w:rFonts w:ascii="Museo Sans 300" w:hAnsi="Museo Sans 300" w:cs="Arial"/>
          <w:sz w:val="22"/>
          <w:szCs w:val="22"/>
        </w:rPr>
      </w:pPr>
      <w:r w:rsidRPr="00085CF5">
        <w:rPr>
          <w:rFonts w:ascii="Museo Sans 300" w:hAnsi="Museo Sans 300" w:cs="Arial"/>
          <w:sz w:val="22"/>
          <w:szCs w:val="22"/>
        </w:rPr>
        <w:t>La recaudación tributaria alcanzó un monto de $3,663.4 millones, (ver gráfico 3) incrementándose con respecto a 2021 en $583.7 millones, producto del dinamismo económico que sostiene el país, y a la eficacia en la implementación del Plan Anti evasión y Plan anti contrabando</w:t>
      </w:r>
      <w:r w:rsidR="00447D6A">
        <w:rPr>
          <w:rFonts w:ascii="Museo Sans 300" w:hAnsi="Museo Sans 300" w:cs="Arial"/>
          <w:sz w:val="22"/>
          <w:szCs w:val="22"/>
        </w:rPr>
        <w:t xml:space="preserve"> y otras medidas administrativas</w:t>
      </w:r>
      <w:r w:rsidRPr="00085CF5">
        <w:rPr>
          <w:rFonts w:ascii="Museo Sans 300" w:hAnsi="Museo Sans 300" w:cs="Arial"/>
          <w:sz w:val="22"/>
          <w:szCs w:val="22"/>
        </w:rPr>
        <w:t>.  En este sentido la carga tributaria fue equivalente a 11.7% con relación al PIB, siendo superior a la registrada a junio de 2021 en 1.0 punto porcentual.</w:t>
      </w:r>
    </w:p>
    <w:p w14:paraId="0DBE65B1" w14:textId="77777777" w:rsidR="00085CF5" w:rsidRDefault="00085CF5" w:rsidP="00A145CB">
      <w:pPr>
        <w:tabs>
          <w:tab w:val="left" w:pos="284"/>
        </w:tabs>
        <w:jc w:val="both"/>
        <w:rPr>
          <w:rFonts w:ascii="Museo Sans 300" w:hAnsi="Museo Sans 300" w:cs="Arial"/>
          <w:sz w:val="22"/>
          <w:szCs w:val="22"/>
        </w:rPr>
      </w:pPr>
    </w:p>
    <w:p w14:paraId="5C4FF5E7" w14:textId="77777777" w:rsidR="00085CF5" w:rsidRPr="009C3D3C" w:rsidRDefault="00085CF5" w:rsidP="00085CF5">
      <w:pPr>
        <w:tabs>
          <w:tab w:val="left" w:pos="0"/>
        </w:tabs>
        <w:jc w:val="both"/>
        <w:rPr>
          <w:rFonts w:ascii="Museo Sans 300" w:hAnsi="Museo Sans 300" w:cs="Arial"/>
          <w:sz w:val="22"/>
          <w:szCs w:val="22"/>
        </w:rPr>
      </w:pPr>
      <w:r w:rsidRPr="009C3D3C">
        <w:rPr>
          <w:rFonts w:ascii="Museo Sans 300" w:hAnsi="Museo Sans 300" w:cs="Arial"/>
          <w:sz w:val="22"/>
          <w:szCs w:val="22"/>
        </w:rPr>
        <w:t xml:space="preserve">Este resultado obedece al comportamiento que han tenido sus componentes, donde todos muestran incrementos, destacando los impuestos de IVA y Renta que en conjunto adicionaron $628.3 millones, la suma del total recaudado por ambos impuestos equivale al 89.6% del </w:t>
      </w:r>
      <w:r w:rsidRPr="009C3D3C">
        <w:rPr>
          <w:rFonts w:ascii="Museo Sans 300" w:hAnsi="Museo Sans 300" w:cs="Arial"/>
          <w:sz w:val="22"/>
          <w:szCs w:val="22"/>
        </w:rPr>
        <w:lastRenderedPageBreak/>
        <w:t xml:space="preserve">ingreso tributario lo que confirma la efectividad de las medidas tributarias y administrativas implementadas desde el año 2019. </w:t>
      </w:r>
    </w:p>
    <w:p w14:paraId="029982C4" w14:textId="77777777" w:rsidR="00FE704C" w:rsidRPr="009C3D3C" w:rsidRDefault="00FE704C" w:rsidP="00042C94">
      <w:pPr>
        <w:tabs>
          <w:tab w:val="left" w:pos="284"/>
        </w:tabs>
        <w:jc w:val="both"/>
        <w:rPr>
          <w:rFonts w:ascii="Museo Sans 300" w:hAnsi="Museo Sans 300" w:cs="Arial"/>
          <w:sz w:val="22"/>
          <w:szCs w:val="22"/>
        </w:rPr>
      </w:pPr>
    </w:p>
    <w:p w14:paraId="563A3AEB" w14:textId="77777777" w:rsidR="00085CF5" w:rsidRPr="00085CF5" w:rsidRDefault="00AD3B3D" w:rsidP="00085CF5">
      <w:pPr>
        <w:jc w:val="both"/>
        <w:rPr>
          <w:rFonts w:ascii="Museo Sans 300" w:hAnsi="Museo Sans 300" w:cs="Arial"/>
          <w:sz w:val="22"/>
          <w:szCs w:val="22"/>
        </w:rPr>
      </w:pPr>
      <w:r w:rsidRPr="00085CF5">
        <w:rPr>
          <w:rFonts w:ascii="Museo Sans 300" w:hAnsi="Museo Sans 300" w:cs="Arial"/>
          <w:sz w:val="22"/>
          <w:szCs w:val="22"/>
        </w:rPr>
        <w:t>De forma detallada</w:t>
      </w:r>
      <w:r w:rsidRPr="00CD1FD1">
        <w:rPr>
          <w:rFonts w:ascii="Museo Sans 300" w:hAnsi="Museo Sans 300" w:cs="Arial"/>
          <w:sz w:val="22"/>
          <w:szCs w:val="22"/>
        </w:rPr>
        <w:t xml:space="preserve">, </w:t>
      </w:r>
      <w:r w:rsidR="00085CF5" w:rsidRPr="00085CF5">
        <w:rPr>
          <w:rFonts w:ascii="Museo Sans 300" w:hAnsi="Museo Sans 300" w:cs="Arial"/>
          <w:sz w:val="22"/>
          <w:szCs w:val="22"/>
        </w:rPr>
        <w:t xml:space="preserve">el Impuesto al Valor Agregado registró un flujo de $1,564.7 millones lo que representa un incremento de 15.3% con respecto a 2021, resultado de variaciones positivas en sus componentes de la siguiente forma: IVA declaración de 7.2% y en IVA importación 22.1%. Debido en </w:t>
      </w:r>
      <w:r w:rsidR="00343ED4">
        <w:rPr>
          <w:rFonts w:ascii="Museo Sans 300" w:hAnsi="Museo Sans 300" w:cs="Arial"/>
          <w:sz w:val="22"/>
          <w:szCs w:val="22"/>
        </w:rPr>
        <w:t xml:space="preserve">parte a los mayores niveles de precios internacionales de </w:t>
      </w:r>
      <w:r w:rsidR="00FE1BD1">
        <w:rPr>
          <w:rFonts w:ascii="Museo Sans 300" w:hAnsi="Museo Sans 300" w:cs="Arial"/>
          <w:sz w:val="22"/>
          <w:szCs w:val="22"/>
        </w:rPr>
        <w:t xml:space="preserve">materias primas, el petróleo y los combustibles, como ejemplo de ello, se registró </w:t>
      </w:r>
      <w:r w:rsidR="00085CF5" w:rsidRPr="00085CF5">
        <w:rPr>
          <w:rFonts w:ascii="Museo Sans 300" w:hAnsi="Museo Sans 300" w:cs="Arial"/>
          <w:sz w:val="22"/>
          <w:szCs w:val="22"/>
        </w:rPr>
        <w:t>incremento de la factura petrolera, representando un 15.2% del total de importaciones, donde las importaciones totales experimentaron un crecimiento de 27.2%, así también ha influido la recuperación de la actividad económica reflejada en el IVAE, que al mes de mayo registró una variación de 4.1%. Dentro de la composición de los Ingresos Tributarios, el IVA representó el 42.7%.</w:t>
      </w:r>
    </w:p>
    <w:p w14:paraId="12F33F8A" w14:textId="77777777" w:rsidR="00085CF5" w:rsidRPr="00D20546" w:rsidRDefault="00085CF5" w:rsidP="00085CF5">
      <w:pPr>
        <w:jc w:val="both"/>
        <w:rPr>
          <w:rFonts w:ascii="Museo Sans 300" w:hAnsi="Museo Sans 300" w:cs="Arial"/>
          <w:i/>
          <w:sz w:val="22"/>
          <w:szCs w:val="22"/>
        </w:rPr>
      </w:pPr>
    </w:p>
    <w:p w14:paraId="18D94669" w14:textId="77777777" w:rsidR="00085CF5" w:rsidRPr="00D20546" w:rsidRDefault="00085CF5" w:rsidP="00085CF5">
      <w:pPr>
        <w:jc w:val="both"/>
        <w:rPr>
          <w:rFonts w:ascii="Museo Sans 300" w:hAnsi="Museo Sans 300" w:cs="Arial"/>
          <w:i/>
          <w:sz w:val="22"/>
          <w:szCs w:val="22"/>
        </w:rPr>
      </w:pPr>
      <w:r w:rsidRPr="00085CF5">
        <w:rPr>
          <w:rFonts w:ascii="Museo Sans 300" w:hAnsi="Museo Sans 300" w:cs="Arial"/>
          <w:sz w:val="22"/>
          <w:szCs w:val="22"/>
        </w:rPr>
        <w:t>El Impuesto sobre la Renta alcanzó un valor recaudado de $1,718.6 millones, observándose un incremento con respecto al año anterior de 32.4%, producto de incrementos en todos sus componentes, de la forma siguiente: declaraciones 49.7%, pago a cuenta 23.7% y retenciones 21.9%</w:t>
      </w:r>
      <w:r w:rsidR="001A4F17">
        <w:rPr>
          <w:rFonts w:ascii="Museo Sans 300" w:hAnsi="Museo Sans 300" w:cs="Arial"/>
          <w:sz w:val="22"/>
          <w:szCs w:val="22"/>
        </w:rPr>
        <w:t>, en el rubro de renta declaración el incremento corresponde en parte a la recaudación amparada a los beneficios de la Amnistía Fiscal (D.L. 173 del 5 de octubre de 2021)</w:t>
      </w:r>
      <w:r w:rsidRPr="00085CF5">
        <w:rPr>
          <w:rFonts w:ascii="Museo Sans 300" w:hAnsi="Museo Sans 300" w:cs="Arial"/>
          <w:sz w:val="22"/>
          <w:szCs w:val="22"/>
        </w:rPr>
        <w:t>. Dicho Impuesto representó un 46.9% del total de Ingresos Tributarios</w:t>
      </w:r>
      <w:r w:rsidRPr="00D20546">
        <w:rPr>
          <w:rFonts w:ascii="Museo Sans 300" w:hAnsi="Museo Sans 300" w:cs="Arial"/>
          <w:i/>
          <w:sz w:val="22"/>
          <w:szCs w:val="22"/>
        </w:rPr>
        <w:t xml:space="preserve">. </w:t>
      </w:r>
    </w:p>
    <w:p w14:paraId="626EE33D" w14:textId="77777777" w:rsidR="00085CF5" w:rsidRDefault="00085CF5" w:rsidP="00085CF5">
      <w:pPr>
        <w:jc w:val="both"/>
        <w:rPr>
          <w:rFonts w:ascii="Museo Sans 300" w:hAnsi="Museo Sans 300" w:cs="Arial"/>
          <w:i/>
          <w:sz w:val="22"/>
          <w:szCs w:val="22"/>
        </w:rPr>
      </w:pPr>
    </w:p>
    <w:p w14:paraId="531084BC" w14:textId="77777777" w:rsidR="00085CF5" w:rsidRPr="00085CF5" w:rsidRDefault="00085CF5" w:rsidP="00085CF5">
      <w:pPr>
        <w:jc w:val="both"/>
        <w:rPr>
          <w:rFonts w:ascii="Museo Sans 300" w:hAnsi="Museo Sans 300" w:cs="Arial"/>
          <w:sz w:val="22"/>
          <w:szCs w:val="22"/>
        </w:rPr>
      </w:pPr>
      <w:r w:rsidRPr="00085CF5">
        <w:rPr>
          <w:rFonts w:ascii="Museo Sans 300" w:hAnsi="Museo Sans 300" w:cs="Arial"/>
          <w:sz w:val="22"/>
          <w:szCs w:val="22"/>
        </w:rPr>
        <w:t xml:space="preserve">La recaudación </w:t>
      </w:r>
      <w:bookmarkStart w:id="24" w:name="_Hlk48627481"/>
      <w:r w:rsidRPr="00085CF5">
        <w:rPr>
          <w:rFonts w:ascii="Museo Sans 300" w:hAnsi="Museo Sans 300" w:cs="Arial"/>
          <w:sz w:val="22"/>
          <w:szCs w:val="22"/>
        </w:rPr>
        <w:t xml:space="preserve">por Derechos Arancelarios a la Importación </w:t>
      </w:r>
      <w:bookmarkEnd w:id="24"/>
      <w:r w:rsidRPr="00085CF5">
        <w:rPr>
          <w:rFonts w:ascii="Museo Sans 300" w:hAnsi="Museo Sans 300" w:cs="Arial"/>
          <w:sz w:val="22"/>
          <w:szCs w:val="22"/>
        </w:rPr>
        <w:t xml:space="preserve">de Bienes registró un total de $152.1 millones, mostrando un incremento de $19.9 millones con respecto a 2021, dicho comportamiento estuvo determinado por el incremento de las importaciones de bienes reportado por el BCR de </w:t>
      </w:r>
      <w:r w:rsidRPr="00447D6A">
        <w:rPr>
          <w:rFonts w:ascii="Museo Sans 300" w:hAnsi="Museo Sans 300" w:cs="Arial"/>
          <w:sz w:val="22"/>
          <w:szCs w:val="22"/>
        </w:rPr>
        <w:t>27.2% al</w:t>
      </w:r>
      <w:r w:rsidRPr="00085CF5">
        <w:rPr>
          <w:rFonts w:ascii="Museo Sans 300" w:hAnsi="Museo Sans 300" w:cs="Arial"/>
          <w:sz w:val="22"/>
          <w:szCs w:val="22"/>
        </w:rPr>
        <w:t xml:space="preserve"> mes de junio 2022</w:t>
      </w:r>
      <w:r w:rsidR="00F010FF">
        <w:rPr>
          <w:rFonts w:ascii="Museo Sans 300" w:hAnsi="Museo Sans 300" w:cs="Arial"/>
          <w:sz w:val="22"/>
          <w:szCs w:val="22"/>
        </w:rPr>
        <w:t>, así como el costo de los fletes</w:t>
      </w:r>
      <w:r w:rsidRPr="00085CF5">
        <w:rPr>
          <w:rFonts w:ascii="Museo Sans 300" w:hAnsi="Museo Sans 300" w:cs="Arial"/>
          <w:sz w:val="22"/>
          <w:szCs w:val="22"/>
        </w:rPr>
        <w:t>.</w:t>
      </w:r>
    </w:p>
    <w:p w14:paraId="3BC0F784" w14:textId="77777777" w:rsidR="00085CF5" w:rsidRDefault="00085CF5" w:rsidP="00EE6B48">
      <w:pPr>
        <w:jc w:val="both"/>
        <w:rPr>
          <w:rFonts w:ascii="Museo Sans 300" w:hAnsi="Museo Sans 300" w:cs="Arial"/>
          <w:sz w:val="22"/>
          <w:szCs w:val="22"/>
        </w:rPr>
      </w:pPr>
    </w:p>
    <w:p w14:paraId="74E446E9" w14:textId="77777777" w:rsidR="00CB6C20" w:rsidRPr="00CD1FD1" w:rsidRDefault="00CB6C20" w:rsidP="00CB6C20">
      <w:pPr>
        <w:jc w:val="center"/>
        <w:rPr>
          <w:rFonts w:ascii="Museo Sans 300" w:hAnsi="Museo Sans 300"/>
          <w:sz w:val="22"/>
          <w:szCs w:val="22"/>
          <w:lang w:val="es-MX"/>
        </w:rPr>
      </w:pPr>
      <w:r w:rsidRPr="00CD1FD1">
        <w:rPr>
          <w:rFonts w:ascii="Museo Sans 300" w:hAnsi="Museo Sans 300"/>
          <w:sz w:val="22"/>
          <w:szCs w:val="22"/>
          <w:lang w:val="es-MX"/>
        </w:rPr>
        <w:t xml:space="preserve">Gráfico 2: </w:t>
      </w:r>
      <w:r w:rsidRPr="00BB3C83">
        <w:rPr>
          <w:rFonts w:ascii="Museo Sans 300" w:hAnsi="Museo Sans 300"/>
          <w:sz w:val="22"/>
          <w:szCs w:val="22"/>
          <w:lang w:val="es-MX"/>
        </w:rPr>
        <w:t xml:space="preserve">Ingresos tributarios del SPNF </w:t>
      </w:r>
      <w:r w:rsidR="00F05512" w:rsidRPr="00BB3C83">
        <w:rPr>
          <w:rFonts w:ascii="Museo Sans 300" w:hAnsi="Museo Sans 300"/>
          <w:sz w:val="22"/>
          <w:szCs w:val="22"/>
          <w:lang w:val="es-MX"/>
        </w:rPr>
        <w:t xml:space="preserve">a </w:t>
      </w:r>
      <w:r w:rsidR="00C722FC">
        <w:rPr>
          <w:rFonts w:ascii="Museo Sans 300" w:hAnsi="Museo Sans 300"/>
          <w:sz w:val="22"/>
          <w:szCs w:val="22"/>
          <w:lang w:val="es-MX"/>
        </w:rPr>
        <w:t>junio</w:t>
      </w:r>
      <w:r w:rsidRPr="00BB3C83">
        <w:rPr>
          <w:rFonts w:ascii="Museo Sans 300" w:hAnsi="Museo Sans 300"/>
          <w:sz w:val="22"/>
          <w:szCs w:val="22"/>
          <w:lang w:val="es-MX"/>
        </w:rPr>
        <w:t xml:space="preserve"> 20</w:t>
      </w:r>
      <w:r w:rsidR="00042C94" w:rsidRPr="00BB3C83">
        <w:rPr>
          <w:rFonts w:ascii="Museo Sans 300" w:hAnsi="Museo Sans 300"/>
          <w:sz w:val="22"/>
          <w:szCs w:val="22"/>
          <w:lang w:val="es-MX"/>
        </w:rPr>
        <w:t>14</w:t>
      </w:r>
      <w:r w:rsidRPr="00BB3C83">
        <w:rPr>
          <w:rFonts w:ascii="Museo Sans 300" w:hAnsi="Museo Sans 300"/>
          <w:sz w:val="22"/>
          <w:szCs w:val="22"/>
          <w:lang w:val="es-MX"/>
        </w:rPr>
        <w:t xml:space="preserve"> -</w:t>
      </w:r>
      <w:r w:rsidR="00042C94" w:rsidRPr="00BB3C83">
        <w:rPr>
          <w:rFonts w:ascii="Museo Sans 300" w:hAnsi="Museo Sans 300"/>
          <w:sz w:val="22"/>
          <w:szCs w:val="22"/>
          <w:lang w:val="es-MX"/>
        </w:rPr>
        <w:t>202</w:t>
      </w:r>
      <w:r w:rsidR="00411F3D" w:rsidRPr="00BB3C83">
        <w:rPr>
          <w:rFonts w:ascii="Museo Sans 300" w:hAnsi="Museo Sans 300"/>
          <w:sz w:val="22"/>
          <w:szCs w:val="22"/>
          <w:lang w:val="es-MX"/>
        </w:rPr>
        <w:t>2</w:t>
      </w:r>
    </w:p>
    <w:p w14:paraId="74814F2E" w14:textId="77777777" w:rsidR="001E1C63" w:rsidRPr="00CD1FD1" w:rsidRDefault="001E1C63" w:rsidP="00CB6C20">
      <w:pPr>
        <w:jc w:val="center"/>
        <w:rPr>
          <w:rFonts w:ascii="Museo Sans 300" w:hAnsi="Museo Sans 300"/>
          <w:sz w:val="22"/>
          <w:szCs w:val="22"/>
          <w:lang w:val="es-MX"/>
        </w:rPr>
      </w:pPr>
    </w:p>
    <w:p w14:paraId="1FC77F57" w14:textId="77777777" w:rsidR="004C388F" w:rsidRPr="00CD1FD1" w:rsidRDefault="00ED3D89" w:rsidP="00FD18DF">
      <w:pPr>
        <w:jc w:val="center"/>
        <w:rPr>
          <w:rFonts w:ascii="Museo Sans 300" w:hAnsi="Museo Sans 300"/>
          <w:sz w:val="22"/>
          <w:szCs w:val="22"/>
          <w:lang w:val="es-MX"/>
        </w:rPr>
      </w:pPr>
      <w:r w:rsidRPr="00ED3D89">
        <w:rPr>
          <w:rFonts w:ascii="Museo Sans 300" w:hAnsi="Museo Sans 300"/>
          <w:sz w:val="22"/>
          <w:szCs w:val="22"/>
          <w:lang w:val="es-MX"/>
        </w:rPr>
        <w:t xml:space="preserve"> </w:t>
      </w:r>
      <w:r w:rsidR="007F0425" w:rsidRPr="007F0425">
        <w:rPr>
          <w:noProof/>
        </w:rPr>
        <w:drawing>
          <wp:inline distT="0" distB="0" distL="0" distR="0" wp14:anchorId="716FB3EB" wp14:editId="655631D5">
            <wp:extent cx="5060844" cy="3033314"/>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148" cy="3084442"/>
                    </a:xfrm>
                    <a:prstGeom prst="rect">
                      <a:avLst/>
                    </a:prstGeom>
                    <a:noFill/>
                    <a:ln>
                      <a:noFill/>
                    </a:ln>
                  </pic:spPr>
                </pic:pic>
              </a:graphicData>
            </a:graphic>
          </wp:inline>
        </w:drawing>
      </w:r>
    </w:p>
    <w:p w14:paraId="436CE82C" w14:textId="77777777" w:rsidR="002F0FC6" w:rsidRPr="00CD1FD1" w:rsidRDefault="002F0FC6" w:rsidP="00AD3B3D">
      <w:pPr>
        <w:jc w:val="both"/>
        <w:rPr>
          <w:rFonts w:ascii="Museo Sans 300" w:hAnsi="Museo Sans 300" w:cs="Arial"/>
          <w:sz w:val="22"/>
          <w:szCs w:val="22"/>
          <w:lang w:val="es-419"/>
        </w:rPr>
      </w:pPr>
    </w:p>
    <w:p w14:paraId="4413C955" w14:textId="77777777" w:rsidR="00177F94" w:rsidRPr="00212C48" w:rsidRDefault="00177F94" w:rsidP="00177F94">
      <w:pPr>
        <w:jc w:val="both"/>
        <w:rPr>
          <w:rFonts w:ascii="Museo Sans 300" w:hAnsi="Museo Sans 300" w:cs="Arial"/>
          <w:sz w:val="22"/>
          <w:szCs w:val="22"/>
        </w:rPr>
      </w:pPr>
      <w:r w:rsidRPr="00212C48">
        <w:rPr>
          <w:rFonts w:ascii="Museo Sans 300" w:hAnsi="Museo Sans 300" w:cs="Arial"/>
          <w:sz w:val="22"/>
          <w:szCs w:val="22"/>
        </w:rPr>
        <w:t>En cuanto a los Impuestos Específicos al Consumo de productos, registraron un valor de $116.4 millones, equivale</w:t>
      </w:r>
      <w:r w:rsidR="00447D6A">
        <w:rPr>
          <w:rFonts w:ascii="Museo Sans 300" w:hAnsi="Museo Sans 300" w:cs="Arial"/>
          <w:sz w:val="22"/>
          <w:szCs w:val="22"/>
        </w:rPr>
        <w:t>nte</w:t>
      </w:r>
      <w:r w:rsidRPr="00212C48">
        <w:rPr>
          <w:rFonts w:ascii="Museo Sans 300" w:hAnsi="Museo Sans 300" w:cs="Arial"/>
          <w:sz w:val="22"/>
          <w:szCs w:val="22"/>
        </w:rPr>
        <w:t xml:space="preserve"> a un crecimiento de 4.8%, resultado neto de incrementos y </w:t>
      </w:r>
      <w:r w:rsidRPr="00212C48">
        <w:rPr>
          <w:rFonts w:ascii="Museo Sans 300" w:hAnsi="Museo Sans 300" w:cs="Arial"/>
          <w:sz w:val="22"/>
          <w:szCs w:val="22"/>
        </w:rPr>
        <w:lastRenderedPageBreak/>
        <w:t>disminuciones en sus componentes, donde destaca el aumento del impuesto a la cerveza en 32.6% y la disminución en productos alcohólicos de 36.5%.</w:t>
      </w:r>
    </w:p>
    <w:p w14:paraId="461FAA8E" w14:textId="77777777" w:rsidR="00212C48" w:rsidRPr="00212C48" w:rsidRDefault="00212C48" w:rsidP="00177F94">
      <w:pPr>
        <w:jc w:val="both"/>
        <w:rPr>
          <w:rFonts w:ascii="Museo Sans 300" w:hAnsi="Museo Sans 300" w:cs="Arial"/>
          <w:sz w:val="22"/>
          <w:szCs w:val="22"/>
        </w:rPr>
      </w:pPr>
    </w:p>
    <w:p w14:paraId="47DED9E9" w14:textId="77777777" w:rsidR="00212C48" w:rsidRPr="00AA7611" w:rsidRDefault="00212C48" w:rsidP="00212C48">
      <w:pPr>
        <w:jc w:val="both"/>
        <w:rPr>
          <w:rFonts w:ascii="Museo Sans 300" w:hAnsi="Museo Sans 300" w:cs="Arial"/>
          <w:strike/>
          <w:sz w:val="22"/>
          <w:szCs w:val="22"/>
        </w:rPr>
      </w:pPr>
      <w:r w:rsidRPr="00212C48">
        <w:rPr>
          <w:rFonts w:ascii="Museo Sans 300" w:hAnsi="Museo Sans 300" w:cs="Arial"/>
          <w:sz w:val="22"/>
          <w:szCs w:val="22"/>
        </w:rPr>
        <w:t>Las Contribuciones Especiales alcanzaron un valor de $78.6 millones, experimentando una reducción de $76.0 millones, con relación al año anterior, básicamente por la finalización de la vigencia de la Contribución Especial a Grandes Contribuyentes que estaba orientada a la Seguridad Pública</w:t>
      </w:r>
      <w:r w:rsidRPr="00285FD5">
        <w:rPr>
          <w:rFonts w:ascii="Museo Sans 300" w:hAnsi="Museo Sans 300" w:cs="Arial"/>
          <w:sz w:val="22"/>
          <w:szCs w:val="22"/>
        </w:rPr>
        <w:t xml:space="preserve">, </w:t>
      </w:r>
      <w:r w:rsidR="00160CCF" w:rsidRPr="00285FD5">
        <w:rPr>
          <w:rFonts w:ascii="Museo Sans 300" w:hAnsi="Museo Sans 300" w:cs="Arial"/>
          <w:sz w:val="22"/>
          <w:szCs w:val="22"/>
        </w:rPr>
        <w:t xml:space="preserve">y a su </w:t>
      </w:r>
      <w:r w:rsidRPr="00212C48">
        <w:rPr>
          <w:rFonts w:ascii="Museo Sans 300" w:hAnsi="Museo Sans 300" w:cs="Arial"/>
          <w:sz w:val="22"/>
          <w:szCs w:val="22"/>
        </w:rPr>
        <w:t xml:space="preserve">vez </w:t>
      </w:r>
      <w:r w:rsidR="00AA7611">
        <w:rPr>
          <w:rFonts w:ascii="Museo Sans 300" w:hAnsi="Museo Sans 300" w:cs="Arial"/>
          <w:sz w:val="22"/>
          <w:szCs w:val="22"/>
        </w:rPr>
        <w:t xml:space="preserve">por la suspensión temporal de la Contribución Especial </w:t>
      </w:r>
      <w:r w:rsidRPr="00212C48">
        <w:rPr>
          <w:rFonts w:ascii="Museo Sans 300" w:hAnsi="Museo Sans 300" w:cs="Arial"/>
          <w:sz w:val="22"/>
          <w:szCs w:val="22"/>
        </w:rPr>
        <w:t>del Transporte</w:t>
      </w:r>
      <w:r w:rsidR="00AA7611">
        <w:rPr>
          <w:rFonts w:ascii="Museo Sans 300" w:hAnsi="Museo Sans 300" w:cs="Arial"/>
          <w:sz w:val="22"/>
          <w:szCs w:val="22"/>
        </w:rPr>
        <w:t xml:space="preserve">, como parte de las medidas ante el impacto de la inflación a junio se ha recaudado solamente </w:t>
      </w:r>
      <w:r w:rsidR="00447D6A">
        <w:rPr>
          <w:rFonts w:ascii="Museo Sans 300" w:hAnsi="Museo Sans 300" w:cs="Arial"/>
          <w:sz w:val="22"/>
          <w:szCs w:val="22"/>
        </w:rPr>
        <w:t>$</w:t>
      </w:r>
      <w:r w:rsidRPr="00212C48">
        <w:rPr>
          <w:rFonts w:ascii="Museo Sans 300" w:hAnsi="Museo Sans 300" w:cs="Arial"/>
          <w:sz w:val="22"/>
          <w:szCs w:val="22"/>
        </w:rPr>
        <w:t>7.3</w:t>
      </w:r>
      <w:r w:rsidR="00447D6A">
        <w:rPr>
          <w:rFonts w:ascii="Museo Sans 300" w:hAnsi="Museo Sans 300" w:cs="Arial"/>
          <w:sz w:val="22"/>
          <w:szCs w:val="22"/>
        </w:rPr>
        <w:t xml:space="preserve"> millones</w:t>
      </w:r>
      <w:r w:rsidR="00AA7611">
        <w:rPr>
          <w:rFonts w:ascii="Museo Sans 300" w:hAnsi="Museo Sans 300" w:cs="Arial"/>
          <w:sz w:val="22"/>
          <w:szCs w:val="22"/>
        </w:rPr>
        <w:t xml:space="preserve">. </w:t>
      </w:r>
    </w:p>
    <w:p w14:paraId="4B5A8EB2" w14:textId="77777777" w:rsidR="00177F94" w:rsidRPr="00212C48" w:rsidRDefault="00177F94" w:rsidP="00177F94">
      <w:pPr>
        <w:jc w:val="both"/>
        <w:rPr>
          <w:rFonts w:ascii="Museo Sans 300" w:hAnsi="Museo Sans 300" w:cs="Arial"/>
          <w:sz w:val="22"/>
          <w:szCs w:val="22"/>
        </w:rPr>
      </w:pPr>
    </w:p>
    <w:p w14:paraId="6C210E57" w14:textId="77777777" w:rsidR="00BF745F" w:rsidRPr="00CD1FD1" w:rsidRDefault="00BF745F" w:rsidP="00BF745F">
      <w:pPr>
        <w:jc w:val="both"/>
        <w:rPr>
          <w:rFonts w:ascii="Museo Sans 300" w:hAnsi="Museo Sans 300" w:cs="Arial"/>
          <w:sz w:val="22"/>
          <w:szCs w:val="22"/>
        </w:rPr>
      </w:pPr>
      <w:r w:rsidRPr="00CD1FD1">
        <w:rPr>
          <w:rFonts w:ascii="Museo Sans 300" w:hAnsi="Museo Sans 300" w:cs="Arial"/>
          <w:sz w:val="22"/>
          <w:szCs w:val="22"/>
        </w:rPr>
        <w:t xml:space="preserve">En el rubro </w:t>
      </w:r>
      <w:r w:rsidR="00420EE2" w:rsidRPr="00CD1FD1">
        <w:rPr>
          <w:rFonts w:ascii="Museo Sans 300" w:hAnsi="Museo Sans 300" w:cs="Arial"/>
          <w:sz w:val="22"/>
          <w:szCs w:val="22"/>
        </w:rPr>
        <w:t>O</w:t>
      </w:r>
      <w:r w:rsidRPr="00CD1FD1">
        <w:rPr>
          <w:rFonts w:ascii="Museo Sans 300" w:hAnsi="Museo Sans 300" w:cs="Arial"/>
          <w:sz w:val="22"/>
          <w:szCs w:val="22"/>
        </w:rPr>
        <w:t xml:space="preserve">tros, </w:t>
      </w:r>
      <w:r w:rsidR="0041785E" w:rsidRPr="00CD1FD1">
        <w:rPr>
          <w:rFonts w:ascii="Museo Sans 300" w:hAnsi="Museo Sans 300" w:cs="Arial"/>
          <w:sz w:val="22"/>
          <w:szCs w:val="22"/>
        </w:rPr>
        <w:t>compuesto principalmente por transferencia</w:t>
      </w:r>
      <w:r w:rsidR="00530B1E" w:rsidRPr="00CD1FD1">
        <w:rPr>
          <w:rFonts w:ascii="Museo Sans 300" w:hAnsi="Museo Sans 300" w:cs="Arial"/>
          <w:sz w:val="22"/>
          <w:szCs w:val="22"/>
        </w:rPr>
        <w:t>s</w:t>
      </w:r>
      <w:r w:rsidR="0041785E" w:rsidRPr="00CD1FD1">
        <w:rPr>
          <w:rFonts w:ascii="Museo Sans 300" w:hAnsi="Museo Sans 300" w:cs="Arial"/>
          <w:sz w:val="22"/>
          <w:szCs w:val="22"/>
        </w:rPr>
        <w:t xml:space="preserve"> de propiedades y el impuesto especial 1ª. Matricula, </w:t>
      </w:r>
      <w:r w:rsidRPr="00CD1FD1">
        <w:rPr>
          <w:rFonts w:ascii="Museo Sans 300" w:hAnsi="Museo Sans 300" w:cs="Arial"/>
          <w:sz w:val="22"/>
          <w:szCs w:val="22"/>
        </w:rPr>
        <w:t>la recaudación ascendió a $</w:t>
      </w:r>
      <w:r w:rsidR="00177F94">
        <w:rPr>
          <w:rFonts w:ascii="Museo Sans 300" w:hAnsi="Museo Sans 300" w:cs="Arial"/>
          <w:sz w:val="22"/>
          <w:szCs w:val="22"/>
        </w:rPr>
        <w:t>32.9</w:t>
      </w:r>
      <w:r w:rsidR="00E82404" w:rsidRPr="00CD1FD1">
        <w:rPr>
          <w:rFonts w:ascii="Museo Sans 300" w:hAnsi="Museo Sans 300" w:cs="Arial"/>
          <w:sz w:val="22"/>
          <w:szCs w:val="22"/>
        </w:rPr>
        <w:t xml:space="preserve"> </w:t>
      </w:r>
      <w:r w:rsidRPr="00CD1FD1">
        <w:rPr>
          <w:rFonts w:ascii="Museo Sans 300" w:hAnsi="Museo Sans 300" w:cs="Arial"/>
          <w:sz w:val="22"/>
          <w:szCs w:val="22"/>
        </w:rPr>
        <w:t xml:space="preserve">millones </w:t>
      </w:r>
      <w:r w:rsidRPr="00CD1FD1">
        <w:rPr>
          <w:rFonts w:ascii="Museo Sans 300" w:hAnsi="Museo Sans 300" w:cs="Arial"/>
          <w:sz w:val="22"/>
          <w:szCs w:val="22"/>
          <w:lang w:val="es-419"/>
        </w:rPr>
        <w:t xml:space="preserve">con un </w:t>
      </w:r>
      <w:r w:rsidR="00101DFA" w:rsidRPr="00CD1FD1">
        <w:rPr>
          <w:rFonts w:ascii="Museo Sans 300" w:hAnsi="Museo Sans 300" w:cs="Arial"/>
          <w:sz w:val="22"/>
          <w:szCs w:val="22"/>
          <w:lang w:val="es-419"/>
        </w:rPr>
        <w:t>c</w:t>
      </w:r>
      <w:r w:rsidRPr="00CD1FD1">
        <w:rPr>
          <w:rFonts w:ascii="Museo Sans 300" w:hAnsi="Museo Sans 300" w:cs="Arial"/>
          <w:sz w:val="22"/>
          <w:szCs w:val="22"/>
          <w:lang w:val="es-419"/>
        </w:rPr>
        <w:t>recimiento de</w:t>
      </w:r>
      <w:r w:rsidRPr="00CD1FD1">
        <w:rPr>
          <w:rFonts w:ascii="Museo Sans 300" w:hAnsi="Museo Sans 300" w:cs="Arial"/>
          <w:sz w:val="22"/>
          <w:szCs w:val="22"/>
          <w:lang w:val="es-SV"/>
        </w:rPr>
        <w:t>l</w:t>
      </w:r>
      <w:r w:rsidRPr="00CD1FD1">
        <w:rPr>
          <w:rFonts w:ascii="Museo Sans 300" w:hAnsi="Museo Sans 300" w:cs="Arial"/>
          <w:sz w:val="22"/>
          <w:szCs w:val="22"/>
          <w:lang w:val="es-419"/>
        </w:rPr>
        <w:t xml:space="preserve"> </w:t>
      </w:r>
      <w:r w:rsidR="00F07D5E" w:rsidRPr="00447D6A">
        <w:rPr>
          <w:rFonts w:ascii="Museo Sans 300" w:hAnsi="Museo Sans 300" w:cs="Arial"/>
          <w:sz w:val="22"/>
          <w:szCs w:val="22"/>
          <w:lang w:val="es-419"/>
        </w:rPr>
        <w:t>2</w:t>
      </w:r>
      <w:r w:rsidR="00447D6A" w:rsidRPr="00447D6A">
        <w:rPr>
          <w:rFonts w:ascii="Museo Sans 300" w:hAnsi="Museo Sans 300" w:cs="Arial"/>
          <w:sz w:val="22"/>
          <w:szCs w:val="22"/>
          <w:lang w:val="es-419"/>
        </w:rPr>
        <w:t>3.1</w:t>
      </w:r>
      <w:r w:rsidRPr="00447D6A">
        <w:rPr>
          <w:rFonts w:ascii="Museo Sans 300" w:hAnsi="Museo Sans 300" w:cs="Arial"/>
          <w:sz w:val="22"/>
          <w:szCs w:val="22"/>
          <w:lang w:val="es-SV"/>
        </w:rPr>
        <w:t>%</w:t>
      </w:r>
      <w:r w:rsidRPr="00447D6A">
        <w:rPr>
          <w:rFonts w:ascii="Museo Sans 300" w:hAnsi="Museo Sans 300" w:cs="Arial"/>
          <w:sz w:val="22"/>
          <w:szCs w:val="22"/>
          <w:lang w:val="es-419"/>
        </w:rPr>
        <w:t xml:space="preserve"> con respecto al resultado obtenido en </w:t>
      </w:r>
      <w:r w:rsidR="00C722FC" w:rsidRPr="00447D6A">
        <w:rPr>
          <w:rFonts w:ascii="Museo Sans 300" w:hAnsi="Museo Sans 300" w:cs="Arial"/>
          <w:sz w:val="22"/>
          <w:szCs w:val="22"/>
          <w:lang w:val="es-419"/>
        </w:rPr>
        <w:t>junio</w:t>
      </w:r>
      <w:r w:rsidRPr="00447D6A">
        <w:rPr>
          <w:rFonts w:ascii="Museo Sans 300" w:hAnsi="Museo Sans 300" w:cs="Arial"/>
          <w:sz w:val="22"/>
          <w:szCs w:val="22"/>
          <w:lang w:val="es-419"/>
        </w:rPr>
        <w:t xml:space="preserve"> </w:t>
      </w:r>
      <w:r w:rsidR="00581B7E" w:rsidRPr="00447D6A">
        <w:rPr>
          <w:rFonts w:ascii="Museo Sans 300" w:hAnsi="Museo Sans 300" w:cs="Arial"/>
          <w:sz w:val="22"/>
          <w:szCs w:val="22"/>
        </w:rPr>
        <w:t>2021</w:t>
      </w:r>
      <w:r w:rsidR="00137776" w:rsidRPr="00447D6A">
        <w:rPr>
          <w:rFonts w:ascii="Museo Sans 300" w:hAnsi="Museo Sans 300" w:cs="Arial"/>
          <w:sz w:val="22"/>
          <w:szCs w:val="22"/>
        </w:rPr>
        <w:t>.</w:t>
      </w:r>
    </w:p>
    <w:p w14:paraId="4B300AFA" w14:textId="77777777" w:rsidR="00BF745F" w:rsidRPr="00CD1FD1" w:rsidRDefault="00BF745F" w:rsidP="00CB6C20">
      <w:pPr>
        <w:jc w:val="center"/>
        <w:rPr>
          <w:rFonts w:ascii="Museo Sans 300" w:hAnsi="Museo Sans 300"/>
          <w:sz w:val="22"/>
          <w:szCs w:val="22"/>
        </w:rPr>
      </w:pPr>
    </w:p>
    <w:p w14:paraId="0D21FDE7" w14:textId="77777777" w:rsidR="00CB6C20" w:rsidRPr="00CD1FD1" w:rsidRDefault="00CB6C20" w:rsidP="00CB6C20">
      <w:pPr>
        <w:jc w:val="center"/>
        <w:rPr>
          <w:rFonts w:ascii="Museo Sans 300" w:hAnsi="Museo Sans 300"/>
          <w:sz w:val="22"/>
          <w:szCs w:val="22"/>
          <w:lang w:val="es-MX"/>
        </w:rPr>
      </w:pPr>
      <w:r w:rsidRPr="00CD1FD1">
        <w:rPr>
          <w:rFonts w:ascii="Museo Sans 300" w:hAnsi="Museo Sans 300"/>
          <w:sz w:val="22"/>
          <w:szCs w:val="22"/>
          <w:lang w:val="es-MX"/>
        </w:rPr>
        <w:t>Gráfico 3</w:t>
      </w:r>
      <w:r w:rsidRPr="00447D6A">
        <w:rPr>
          <w:rFonts w:ascii="Museo Sans 300" w:hAnsi="Museo Sans 300"/>
          <w:sz w:val="22"/>
          <w:szCs w:val="22"/>
          <w:lang w:val="es-MX"/>
        </w:rPr>
        <w:t>: Ingresos tr</w:t>
      </w:r>
      <w:r w:rsidRPr="00CD1FD1">
        <w:rPr>
          <w:rFonts w:ascii="Museo Sans 300" w:hAnsi="Museo Sans 300"/>
          <w:sz w:val="22"/>
          <w:szCs w:val="22"/>
          <w:lang w:val="es-MX"/>
        </w:rPr>
        <w:t>ibutarios del SPNF por fuente</w:t>
      </w:r>
      <w:r w:rsidR="000B1B60" w:rsidRPr="00CD1FD1">
        <w:rPr>
          <w:rFonts w:ascii="Museo Sans 300" w:hAnsi="Museo Sans 300"/>
          <w:sz w:val="22"/>
          <w:szCs w:val="22"/>
          <w:lang w:val="es-MX"/>
        </w:rPr>
        <w:t>s</w:t>
      </w:r>
      <w:r w:rsidRPr="00CD1FD1">
        <w:rPr>
          <w:rFonts w:ascii="Museo Sans 300" w:hAnsi="Museo Sans 300"/>
          <w:sz w:val="22"/>
          <w:szCs w:val="22"/>
          <w:lang w:val="es-MX"/>
        </w:rPr>
        <w:t xml:space="preserve"> </w:t>
      </w:r>
      <w:r w:rsidR="00F05512"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1C00F7" w:rsidRPr="00CD1FD1">
        <w:rPr>
          <w:rFonts w:ascii="Museo Sans 300" w:hAnsi="Museo Sans 300"/>
          <w:sz w:val="22"/>
          <w:szCs w:val="22"/>
          <w:lang w:val="es-MX"/>
        </w:rPr>
        <w:t xml:space="preserve"> 20</w:t>
      </w:r>
      <w:r w:rsidR="00563EE7" w:rsidRPr="00CD1FD1">
        <w:rPr>
          <w:rFonts w:ascii="Museo Sans 300" w:hAnsi="Museo Sans 300"/>
          <w:sz w:val="22"/>
          <w:szCs w:val="22"/>
          <w:lang w:val="es-MX"/>
        </w:rPr>
        <w:t>1</w:t>
      </w:r>
      <w:r w:rsidR="00E218E0" w:rsidRPr="00CD1FD1">
        <w:rPr>
          <w:rFonts w:ascii="Museo Sans 300" w:hAnsi="Museo Sans 300"/>
          <w:sz w:val="22"/>
          <w:szCs w:val="22"/>
          <w:lang w:val="es-MX"/>
        </w:rPr>
        <w:t>4</w:t>
      </w:r>
      <w:r w:rsidRPr="00CD1FD1">
        <w:rPr>
          <w:rFonts w:ascii="Museo Sans 300" w:hAnsi="Museo Sans 300"/>
          <w:sz w:val="22"/>
          <w:szCs w:val="22"/>
          <w:lang w:val="es-MX"/>
        </w:rPr>
        <w:t xml:space="preserve"> -</w:t>
      </w:r>
      <w:r w:rsidR="00042C94" w:rsidRPr="00CD1FD1">
        <w:rPr>
          <w:rFonts w:ascii="Museo Sans 300" w:hAnsi="Museo Sans 300"/>
          <w:sz w:val="22"/>
          <w:szCs w:val="22"/>
          <w:lang w:val="es-MX"/>
        </w:rPr>
        <w:t>202</w:t>
      </w:r>
      <w:r w:rsidR="00411F3D" w:rsidRPr="00CD1FD1">
        <w:rPr>
          <w:rFonts w:ascii="Museo Sans 300" w:hAnsi="Museo Sans 300"/>
          <w:sz w:val="22"/>
          <w:szCs w:val="22"/>
          <w:lang w:val="es-MX"/>
        </w:rPr>
        <w:t>2</w:t>
      </w:r>
    </w:p>
    <w:p w14:paraId="6C163BAA" w14:textId="77777777" w:rsidR="007A6BC6" w:rsidRPr="00ED3D89" w:rsidRDefault="007A6BC6" w:rsidP="00CB6C20">
      <w:pPr>
        <w:jc w:val="center"/>
        <w:rPr>
          <w:rFonts w:ascii="Museo Sans 300" w:hAnsi="Museo Sans 300"/>
          <w:sz w:val="12"/>
          <w:szCs w:val="12"/>
          <w:lang w:val="es-MX"/>
        </w:rPr>
      </w:pPr>
    </w:p>
    <w:p w14:paraId="2BFBE42B" w14:textId="77777777" w:rsidR="001E1C63" w:rsidRDefault="00447D6A" w:rsidP="00CB6C20">
      <w:pPr>
        <w:jc w:val="center"/>
        <w:rPr>
          <w:rFonts w:ascii="Museo Sans 300" w:hAnsi="Museo Sans 300"/>
          <w:sz w:val="22"/>
          <w:szCs w:val="22"/>
          <w:lang w:val="es-SV"/>
        </w:rPr>
      </w:pPr>
      <w:r w:rsidRPr="00447D6A">
        <w:rPr>
          <w:noProof/>
        </w:rPr>
        <w:drawing>
          <wp:inline distT="0" distB="0" distL="0" distR="0" wp14:anchorId="36C2B523" wp14:editId="66ABC3BF">
            <wp:extent cx="4984115" cy="3065145"/>
            <wp:effectExtent l="0" t="0" r="698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115" cy="3065145"/>
                    </a:xfrm>
                    <a:prstGeom prst="rect">
                      <a:avLst/>
                    </a:prstGeom>
                    <a:noFill/>
                    <a:ln>
                      <a:noFill/>
                    </a:ln>
                  </pic:spPr>
                </pic:pic>
              </a:graphicData>
            </a:graphic>
          </wp:inline>
        </w:drawing>
      </w:r>
    </w:p>
    <w:p w14:paraId="796CFF63" w14:textId="77777777" w:rsidR="007D2C14" w:rsidRPr="00ED3D89" w:rsidRDefault="00ED3D89" w:rsidP="001E1C63">
      <w:pPr>
        <w:jc w:val="center"/>
        <w:rPr>
          <w:rFonts w:ascii="Museo Sans 300" w:hAnsi="Museo Sans 300"/>
          <w:b/>
          <w:sz w:val="16"/>
          <w:szCs w:val="16"/>
          <w:lang w:val="es-SV"/>
        </w:rPr>
      </w:pPr>
      <w:r w:rsidRPr="00ED3D89">
        <w:rPr>
          <w:rFonts w:ascii="Museo Sans 300" w:hAnsi="Museo Sans 300"/>
          <w:b/>
          <w:sz w:val="16"/>
          <w:szCs w:val="16"/>
          <w:lang w:val="es-SV"/>
        </w:rPr>
        <w:t xml:space="preserve">Fuente: Ministerio de Hacienda </w:t>
      </w:r>
    </w:p>
    <w:p w14:paraId="658E7AE3" w14:textId="77777777" w:rsidR="00ED3D89" w:rsidRPr="00ED3D89" w:rsidRDefault="00ED3D89" w:rsidP="001E1C63">
      <w:pPr>
        <w:jc w:val="center"/>
        <w:rPr>
          <w:rFonts w:ascii="Museo Sans 300" w:hAnsi="Museo Sans 300"/>
          <w:sz w:val="12"/>
          <w:szCs w:val="12"/>
          <w:lang w:val="es-MX"/>
        </w:rPr>
      </w:pPr>
    </w:p>
    <w:p w14:paraId="260D5578" w14:textId="77777777" w:rsidR="00724FE8" w:rsidRDefault="00724FE8" w:rsidP="00790662">
      <w:pPr>
        <w:jc w:val="both"/>
        <w:rPr>
          <w:rFonts w:ascii="Museo Sans 300" w:hAnsi="Museo Sans 300"/>
          <w:sz w:val="22"/>
          <w:szCs w:val="22"/>
          <w:lang w:val="es-MX"/>
        </w:rPr>
      </w:pPr>
    </w:p>
    <w:p w14:paraId="6894B1DC" w14:textId="77777777" w:rsidR="00724FE8" w:rsidRDefault="00724FE8" w:rsidP="00790662">
      <w:pPr>
        <w:jc w:val="both"/>
        <w:rPr>
          <w:rFonts w:ascii="Museo Sans 300" w:hAnsi="Museo Sans 300"/>
          <w:sz w:val="22"/>
          <w:szCs w:val="22"/>
          <w:lang w:val="es-MX"/>
        </w:rPr>
      </w:pPr>
    </w:p>
    <w:p w14:paraId="2B7839E3" w14:textId="77777777" w:rsidR="00790662" w:rsidRPr="00CD1FD1" w:rsidRDefault="00790662" w:rsidP="00790662">
      <w:pPr>
        <w:jc w:val="both"/>
        <w:rPr>
          <w:rFonts w:ascii="Museo Sans 300" w:hAnsi="Museo Sans 300"/>
          <w:sz w:val="22"/>
          <w:szCs w:val="22"/>
          <w:lang w:val="es-MX"/>
        </w:rPr>
      </w:pPr>
      <w:r w:rsidRPr="00CD1FD1">
        <w:rPr>
          <w:rFonts w:ascii="Museo Sans 300" w:hAnsi="Museo Sans 300"/>
          <w:sz w:val="22"/>
          <w:szCs w:val="22"/>
          <w:lang w:val="es-MX"/>
        </w:rPr>
        <w:t>En la siguiente tabla se muestra el comportamiento de los ingresos tributarios, tanto en millones de dólares, como en porcentaje que representa respecto al total y su composición por rubro para formar la carga tributaria.</w:t>
      </w:r>
    </w:p>
    <w:p w14:paraId="3E5181B2" w14:textId="77777777" w:rsidR="00BD2BF4" w:rsidRPr="00ED3D89" w:rsidRDefault="00BD2BF4" w:rsidP="00790662">
      <w:pPr>
        <w:jc w:val="both"/>
        <w:rPr>
          <w:rFonts w:ascii="Museo Sans 300" w:hAnsi="Museo Sans 300"/>
          <w:sz w:val="12"/>
          <w:szCs w:val="12"/>
          <w:lang w:val="es-MX"/>
        </w:rPr>
      </w:pPr>
    </w:p>
    <w:p w14:paraId="57E96766" w14:textId="77777777" w:rsidR="009C3D3C" w:rsidRDefault="009C3D3C" w:rsidP="00C337C8">
      <w:pPr>
        <w:jc w:val="center"/>
        <w:rPr>
          <w:rFonts w:ascii="Museo Sans 300" w:hAnsi="Museo Sans 300"/>
          <w:sz w:val="22"/>
          <w:szCs w:val="22"/>
          <w:lang w:val="es-MX"/>
        </w:rPr>
      </w:pPr>
    </w:p>
    <w:p w14:paraId="303096D0" w14:textId="77777777" w:rsidR="009C3D3C" w:rsidRDefault="009C3D3C" w:rsidP="00C337C8">
      <w:pPr>
        <w:jc w:val="center"/>
        <w:rPr>
          <w:rFonts w:ascii="Museo Sans 300" w:hAnsi="Museo Sans 300"/>
          <w:sz w:val="22"/>
          <w:szCs w:val="22"/>
          <w:lang w:val="es-MX"/>
        </w:rPr>
      </w:pPr>
    </w:p>
    <w:p w14:paraId="53166C79" w14:textId="77777777" w:rsidR="009C3D3C" w:rsidRDefault="009C3D3C" w:rsidP="00C337C8">
      <w:pPr>
        <w:jc w:val="center"/>
        <w:rPr>
          <w:rFonts w:ascii="Museo Sans 300" w:hAnsi="Museo Sans 300"/>
          <w:sz w:val="22"/>
          <w:szCs w:val="22"/>
          <w:lang w:val="es-MX"/>
        </w:rPr>
      </w:pPr>
    </w:p>
    <w:p w14:paraId="1E4C3FAA" w14:textId="77777777" w:rsidR="009C3D3C" w:rsidRDefault="009C3D3C" w:rsidP="00C337C8">
      <w:pPr>
        <w:jc w:val="center"/>
        <w:rPr>
          <w:rFonts w:ascii="Museo Sans 300" w:hAnsi="Museo Sans 300"/>
          <w:sz w:val="22"/>
          <w:szCs w:val="22"/>
          <w:lang w:val="es-MX"/>
        </w:rPr>
      </w:pPr>
    </w:p>
    <w:p w14:paraId="6E333133" w14:textId="77777777" w:rsidR="009C3D3C" w:rsidRDefault="009C3D3C" w:rsidP="00C337C8">
      <w:pPr>
        <w:jc w:val="center"/>
        <w:rPr>
          <w:rFonts w:ascii="Museo Sans 300" w:hAnsi="Museo Sans 300"/>
          <w:sz w:val="22"/>
          <w:szCs w:val="22"/>
          <w:lang w:val="es-MX"/>
        </w:rPr>
      </w:pPr>
    </w:p>
    <w:p w14:paraId="3CF36691" w14:textId="77777777" w:rsidR="009C3D3C" w:rsidRDefault="009C3D3C" w:rsidP="00C337C8">
      <w:pPr>
        <w:jc w:val="center"/>
        <w:rPr>
          <w:rFonts w:ascii="Museo Sans 300" w:hAnsi="Museo Sans 300"/>
          <w:sz w:val="22"/>
          <w:szCs w:val="22"/>
          <w:lang w:val="es-MX"/>
        </w:rPr>
      </w:pPr>
    </w:p>
    <w:p w14:paraId="60B29806" w14:textId="77777777" w:rsidR="009C3D3C" w:rsidRDefault="009C3D3C" w:rsidP="00C337C8">
      <w:pPr>
        <w:jc w:val="center"/>
        <w:rPr>
          <w:rFonts w:ascii="Museo Sans 300" w:hAnsi="Museo Sans 300"/>
          <w:sz w:val="22"/>
          <w:szCs w:val="22"/>
          <w:lang w:val="es-MX"/>
        </w:rPr>
      </w:pPr>
    </w:p>
    <w:p w14:paraId="3E7F05BB" w14:textId="77777777" w:rsidR="009C3D3C" w:rsidRDefault="009C3D3C" w:rsidP="00C337C8">
      <w:pPr>
        <w:jc w:val="center"/>
        <w:rPr>
          <w:rFonts w:ascii="Museo Sans 300" w:hAnsi="Museo Sans 300"/>
          <w:sz w:val="22"/>
          <w:szCs w:val="22"/>
          <w:lang w:val="es-MX"/>
        </w:rPr>
      </w:pPr>
    </w:p>
    <w:p w14:paraId="2A0BB1D3" w14:textId="77777777" w:rsidR="009C3D3C" w:rsidRDefault="009C3D3C" w:rsidP="00C337C8">
      <w:pPr>
        <w:jc w:val="center"/>
        <w:rPr>
          <w:rFonts w:ascii="Museo Sans 300" w:hAnsi="Museo Sans 300"/>
          <w:sz w:val="22"/>
          <w:szCs w:val="22"/>
          <w:lang w:val="es-MX"/>
        </w:rPr>
      </w:pPr>
    </w:p>
    <w:p w14:paraId="1DB1ABCB" w14:textId="77777777" w:rsidR="00BE54F5" w:rsidRPr="00CD1FD1" w:rsidRDefault="00BB3C83" w:rsidP="00C337C8">
      <w:pPr>
        <w:jc w:val="center"/>
        <w:rPr>
          <w:rFonts w:ascii="Museo Sans 300" w:hAnsi="Museo Sans 300"/>
          <w:sz w:val="22"/>
          <w:szCs w:val="22"/>
          <w:lang w:val="es-MX"/>
        </w:rPr>
      </w:pPr>
      <w:r>
        <w:rPr>
          <w:rFonts w:ascii="Museo Sans 300" w:hAnsi="Museo Sans 300"/>
          <w:sz w:val="22"/>
          <w:szCs w:val="22"/>
          <w:lang w:val="es-MX"/>
        </w:rPr>
        <w:lastRenderedPageBreak/>
        <w:t>T</w:t>
      </w:r>
      <w:r w:rsidR="00BE54F5" w:rsidRPr="00CD1FD1">
        <w:rPr>
          <w:rFonts w:ascii="Museo Sans 300" w:hAnsi="Museo Sans 300"/>
          <w:sz w:val="22"/>
          <w:szCs w:val="22"/>
          <w:lang w:val="es-MX"/>
        </w:rPr>
        <w:t xml:space="preserve">abla No. </w:t>
      </w:r>
      <w:r w:rsidR="009A14E6" w:rsidRPr="00CD1FD1">
        <w:rPr>
          <w:rFonts w:ascii="Museo Sans 300" w:hAnsi="Museo Sans 300"/>
          <w:sz w:val="22"/>
          <w:szCs w:val="22"/>
          <w:lang w:val="es-MX"/>
        </w:rPr>
        <w:t>1</w:t>
      </w:r>
      <w:r w:rsidR="00BE54F5" w:rsidRPr="00CD1FD1">
        <w:rPr>
          <w:rFonts w:ascii="Museo Sans 300" w:hAnsi="Museo Sans 300"/>
          <w:sz w:val="22"/>
          <w:szCs w:val="22"/>
          <w:lang w:val="es-MX"/>
        </w:rPr>
        <w:t xml:space="preserve"> Estructura de Ingresos Tributarios </w:t>
      </w:r>
      <w:r w:rsidR="00532FE5"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532FE5" w:rsidRPr="00CD1FD1">
        <w:rPr>
          <w:rFonts w:ascii="Museo Sans 300" w:hAnsi="Museo Sans 300"/>
          <w:sz w:val="22"/>
          <w:szCs w:val="22"/>
          <w:lang w:val="es-MX"/>
        </w:rPr>
        <w:t xml:space="preserve"> </w:t>
      </w:r>
      <w:r w:rsidR="00BE54F5" w:rsidRPr="00CD1FD1">
        <w:rPr>
          <w:rFonts w:ascii="Museo Sans 300" w:hAnsi="Museo Sans 300"/>
          <w:sz w:val="22"/>
          <w:szCs w:val="22"/>
          <w:lang w:val="es-MX"/>
        </w:rPr>
        <w:t>20</w:t>
      </w:r>
      <w:r w:rsidR="00A80A13" w:rsidRPr="00CD1FD1">
        <w:rPr>
          <w:rFonts w:ascii="Museo Sans 300" w:hAnsi="Museo Sans 300"/>
          <w:sz w:val="22"/>
          <w:szCs w:val="22"/>
          <w:lang w:val="es-MX"/>
        </w:rPr>
        <w:t>1</w:t>
      </w:r>
      <w:r w:rsidR="00E218E0" w:rsidRPr="00CD1FD1">
        <w:rPr>
          <w:rFonts w:ascii="Museo Sans 300" w:hAnsi="Museo Sans 300"/>
          <w:sz w:val="22"/>
          <w:szCs w:val="22"/>
          <w:lang w:val="es-MX"/>
        </w:rPr>
        <w:t>4</w:t>
      </w:r>
      <w:r w:rsidR="00BE54F5" w:rsidRPr="00CD1FD1">
        <w:rPr>
          <w:rFonts w:ascii="Museo Sans 300" w:hAnsi="Museo Sans 300"/>
          <w:sz w:val="22"/>
          <w:szCs w:val="22"/>
          <w:lang w:val="es-MX"/>
        </w:rPr>
        <w:t xml:space="preserve"> - 20</w:t>
      </w:r>
      <w:r w:rsidR="00E218E0" w:rsidRPr="00CD1FD1">
        <w:rPr>
          <w:rFonts w:ascii="Museo Sans 300" w:hAnsi="Museo Sans 300"/>
          <w:sz w:val="22"/>
          <w:szCs w:val="22"/>
          <w:lang w:val="es-MX"/>
        </w:rPr>
        <w:t>2</w:t>
      </w:r>
      <w:r w:rsidR="00411F3D" w:rsidRPr="00CD1FD1">
        <w:rPr>
          <w:rFonts w:ascii="Museo Sans 300" w:hAnsi="Museo Sans 300"/>
          <w:sz w:val="22"/>
          <w:szCs w:val="22"/>
          <w:lang w:val="es-MX"/>
        </w:rPr>
        <w:t>2</w:t>
      </w:r>
    </w:p>
    <w:p w14:paraId="441850CE" w14:textId="77777777" w:rsidR="00BE54F5" w:rsidRPr="00CD1FD1" w:rsidRDefault="00BE54F5" w:rsidP="00C337C8">
      <w:pPr>
        <w:jc w:val="center"/>
        <w:rPr>
          <w:rFonts w:ascii="Museo Sans 300" w:hAnsi="Museo Sans 300"/>
          <w:sz w:val="22"/>
          <w:szCs w:val="22"/>
          <w:lang w:val="es-MX"/>
        </w:rPr>
      </w:pPr>
      <w:r w:rsidRPr="00CD1FD1">
        <w:rPr>
          <w:rFonts w:ascii="Museo Sans 300" w:hAnsi="Museo Sans 300"/>
          <w:sz w:val="22"/>
          <w:szCs w:val="22"/>
          <w:lang w:val="es-MX"/>
        </w:rPr>
        <w:t>(Millones de $, como % del total de ingresos y % del PIB)</w:t>
      </w:r>
      <w:r w:rsidR="00871062" w:rsidRPr="00CD1FD1">
        <w:rPr>
          <w:rFonts w:ascii="Museo Sans 300" w:hAnsi="Museo Sans 300"/>
          <w:sz w:val="22"/>
          <w:szCs w:val="22"/>
          <w:lang w:val="es-MX"/>
        </w:rPr>
        <w:t>.</w:t>
      </w:r>
    </w:p>
    <w:p w14:paraId="73E0C24E" w14:textId="77777777" w:rsidR="00F6695E" w:rsidRPr="00CD1FD1" w:rsidRDefault="00F6695E" w:rsidP="00C337C8">
      <w:pPr>
        <w:jc w:val="center"/>
        <w:rPr>
          <w:rFonts w:ascii="Museo Sans 300" w:hAnsi="Museo Sans 300"/>
          <w:sz w:val="22"/>
          <w:szCs w:val="22"/>
          <w:lang w:val="es-MX"/>
        </w:rPr>
      </w:pPr>
    </w:p>
    <w:p w14:paraId="108B1184" w14:textId="77777777" w:rsidR="001A49A6" w:rsidRDefault="007F0425" w:rsidP="00C337C8">
      <w:pPr>
        <w:jc w:val="center"/>
        <w:rPr>
          <w:rFonts w:ascii="Museo Sans 300" w:hAnsi="Museo Sans 300"/>
          <w:sz w:val="22"/>
          <w:szCs w:val="22"/>
          <w:lang w:val="es-MX"/>
        </w:rPr>
      </w:pPr>
      <w:r w:rsidRPr="007F0425">
        <w:rPr>
          <w:noProof/>
        </w:rPr>
        <w:drawing>
          <wp:inline distT="0" distB="0" distL="0" distR="0" wp14:anchorId="668173E4" wp14:editId="0F47D530">
            <wp:extent cx="5971442" cy="4056845"/>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54" cy="4063851"/>
                    </a:xfrm>
                    <a:prstGeom prst="rect">
                      <a:avLst/>
                    </a:prstGeom>
                    <a:noFill/>
                    <a:ln>
                      <a:noFill/>
                    </a:ln>
                  </pic:spPr>
                </pic:pic>
              </a:graphicData>
            </a:graphic>
          </wp:inline>
        </w:drawing>
      </w:r>
    </w:p>
    <w:p w14:paraId="422BAD13" w14:textId="77777777" w:rsidR="00ED3D89" w:rsidRPr="00ED3D89" w:rsidRDefault="00897D3C" w:rsidP="00ED3D89">
      <w:pPr>
        <w:jc w:val="center"/>
        <w:rPr>
          <w:rFonts w:ascii="Museo Sans 300" w:hAnsi="Museo Sans 300"/>
          <w:b/>
          <w:sz w:val="16"/>
          <w:szCs w:val="16"/>
          <w:lang w:val="es-MX"/>
        </w:rPr>
      </w:pPr>
      <w:r w:rsidRPr="00ED3D89">
        <w:rPr>
          <w:rFonts w:ascii="Museo Sans 300" w:hAnsi="Museo Sans 300"/>
          <w:b/>
          <w:sz w:val="16"/>
          <w:szCs w:val="16"/>
          <w:lang w:val="es-MX"/>
        </w:rPr>
        <w:t xml:space="preserve">Fuente: </w:t>
      </w:r>
      <w:r w:rsidR="00ED3D89" w:rsidRPr="00ED3D89">
        <w:rPr>
          <w:rFonts w:ascii="Museo Sans 300" w:hAnsi="Museo Sans 300"/>
          <w:b/>
          <w:sz w:val="16"/>
          <w:szCs w:val="16"/>
          <w:lang w:val="es-MX"/>
        </w:rPr>
        <w:t>Ministerio de Hacienda</w:t>
      </w:r>
      <w:bookmarkStart w:id="25" w:name="_Toc509301814"/>
      <w:bookmarkStart w:id="26" w:name="_Toc308681664"/>
      <w:bookmarkStart w:id="27" w:name="_Toc319049210"/>
      <w:bookmarkStart w:id="28" w:name="_Toc411843462"/>
    </w:p>
    <w:p w14:paraId="209B8D9E" w14:textId="77777777" w:rsidR="00724FE8" w:rsidRDefault="00724FE8" w:rsidP="00ED3D89">
      <w:pPr>
        <w:rPr>
          <w:rFonts w:ascii="Museo Sans 300" w:hAnsi="Museo Sans 300"/>
          <w:b/>
          <w:sz w:val="22"/>
          <w:szCs w:val="22"/>
          <w:lang w:val="es-MX"/>
        </w:rPr>
      </w:pPr>
    </w:p>
    <w:p w14:paraId="0A94A677" w14:textId="77777777" w:rsidR="00773139" w:rsidRPr="00AB023C" w:rsidRDefault="00773139" w:rsidP="00ED3D89">
      <w:pPr>
        <w:rPr>
          <w:rFonts w:ascii="Museo Sans 300" w:hAnsi="Museo Sans 300"/>
          <w:b/>
          <w:sz w:val="22"/>
          <w:szCs w:val="22"/>
          <w:lang w:val="es-MX"/>
        </w:rPr>
      </w:pPr>
      <w:r w:rsidRPr="00AB023C">
        <w:rPr>
          <w:rFonts w:ascii="Museo Sans 300" w:hAnsi="Museo Sans 300"/>
          <w:b/>
          <w:sz w:val="22"/>
          <w:szCs w:val="22"/>
          <w:lang w:val="es-MX"/>
        </w:rPr>
        <w:t xml:space="preserve">Recaudación </w:t>
      </w:r>
      <w:r w:rsidR="00C60002">
        <w:rPr>
          <w:rFonts w:ascii="Museo Sans 300" w:hAnsi="Museo Sans 300"/>
          <w:b/>
          <w:sz w:val="22"/>
          <w:szCs w:val="22"/>
          <w:lang w:val="es-MX"/>
        </w:rPr>
        <w:t xml:space="preserve">de ingresos corrientes </w:t>
      </w:r>
      <w:r w:rsidR="00BD2BF4" w:rsidRPr="00AB023C">
        <w:rPr>
          <w:rFonts w:ascii="Museo Sans 300" w:hAnsi="Museo Sans 300"/>
          <w:b/>
          <w:sz w:val="22"/>
          <w:szCs w:val="22"/>
          <w:lang w:val="es-MX"/>
        </w:rPr>
        <w:t>incluyendo contribuciones especiales</w:t>
      </w:r>
      <w:r w:rsidRPr="00AB023C">
        <w:rPr>
          <w:rFonts w:ascii="Museo Sans 300" w:hAnsi="Museo Sans 300"/>
          <w:b/>
          <w:sz w:val="22"/>
          <w:szCs w:val="22"/>
          <w:lang w:val="es-MX"/>
        </w:rPr>
        <w:t>.</w:t>
      </w:r>
      <w:bookmarkEnd w:id="25"/>
    </w:p>
    <w:p w14:paraId="03C2E253" w14:textId="77777777" w:rsidR="00773139" w:rsidRPr="00AB023C" w:rsidRDefault="00773139" w:rsidP="00773139">
      <w:pPr>
        <w:jc w:val="both"/>
        <w:rPr>
          <w:rFonts w:ascii="Museo Sans 300" w:hAnsi="Museo Sans 300"/>
          <w:sz w:val="22"/>
          <w:szCs w:val="22"/>
          <w:lang w:val="es-MX"/>
        </w:rPr>
      </w:pPr>
    </w:p>
    <w:p w14:paraId="66713B61" w14:textId="77777777" w:rsidR="0003199D" w:rsidRPr="00AB023C" w:rsidRDefault="00773139" w:rsidP="00773139">
      <w:pPr>
        <w:jc w:val="both"/>
        <w:rPr>
          <w:rFonts w:ascii="Museo Sans 300" w:hAnsi="Museo Sans 300"/>
          <w:sz w:val="22"/>
          <w:szCs w:val="22"/>
          <w:lang w:val="es-MX"/>
        </w:rPr>
      </w:pPr>
      <w:r w:rsidRPr="00AB023C">
        <w:rPr>
          <w:rFonts w:ascii="Museo Sans 300" w:hAnsi="Museo Sans 300"/>
          <w:sz w:val="22"/>
          <w:szCs w:val="22"/>
          <w:lang w:val="es-MX"/>
        </w:rPr>
        <w:t xml:space="preserve">De acuerdo con las cifras de la DGT, la recaudación </w:t>
      </w:r>
      <w:r w:rsidR="006D0C79">
        <w:rPr>
          <w:rFonts w:ascii="Museo Sans 300" w:hAnsi="Museo Sans 300"/>
          <w:sz w:val="22"/>
          <w:szCs w:val="22"/>
          <w:lang w:val="es-MX"/>
        </w:rPr>
        <w:t xml:space="preserve">de ingresos corrientes </w:t>
      </w:r>
      <w:r w:rsidR="007B2A51">
        <w:rPr>
          <w:rFonts w:ascii="Museo Sans 300" w:hAnsi="Museo Sans 300"/>
          <w:sz w:val="22"/>
          <w:szCs w:val="22"/>
          <w:lang w:val="es-MX"/>
        </w:rPr>
        <w:t xml:space="preserve">del Gobierno Central </w:t>
      </w:r>
      <w:r w:rsidRPr="00AB023C">
        <w:rPr>
          <w:rFonts w:ascii="Museo Sans 300" w:hAnsi="Museo Sans 300"/>
          <w:sz w:val="22"/>
          <w:szCs w:val="22"/>
          <w:lang w:val="es-MX"/>
        </w:rPr>
        <w:t xml:space="preserve">al </w:t>
      </w:r>
      <w:r w:rsidR="00C722FC" w:rsidRPr="00AB023C">
        <w:rPr>
          <w:rFonts w:ascii="Museo Sans 300" w:hAnsi="Museo Sans 300"/>
          <w:sz w:val="22"/>
          <w:szCs w:val="22"/>
          <w:lang w:val="es-MX"/>
        </w:rPr>
        <w:t>segundo trimestre</w:t>
      </w:r>
      <w:r w:rsidRPr="00AB023C">
        <w:rPr>
          <w:rFonts w:ascii="Museo Sans 300" w:hAnsi="Museo Sans 300"/>
          <w:sz w:val="22"/>
          <w:szCs w:val="22"/>
          <w:lang w:val="es-MX"/>
        </w:rPr>
        <w:t xml:space="preserve"> </w:t>
      </w:r>
      <w:r w:rsidR="00D551BE" w:rsidRPr="00AB023C">
        <w:rPr>
          <w:rFonts w:ascii="Museo Sans 300" w:hAnsi="Museo Sans 300"/>
          <w:sz w:val="22"/>
          <w:szCs w:val="22"/>
          <w:lang w:val="es-MX"/>
        </w:rPr>
        <w:t xml:space="preserve">del </w:t>
      </w:r>
      <w:r w:rsidR="007D5077" w:rsidRPr="00AB023C">
        <w:rPr>
          <w:rFonts w:ascii="Museo Sans 300" w:hAnsi="Museo Sans 300"/>
          <w:sz w:val="22"/>
          <w:szCs w:val="22"/>
          <w:lang w:val="es-MX"/>
        </w:rPr>
        <w:t>año</w:t>
      </w:r>
      <w:r w:rsidR="006854AC" w:rsidRPr="00AB023C">
        <w:rPr>
          <w:rFonts w:ascii="Museo Sans 300" w:hAnsi="Museo Sans 300"/>
          <w:sz w:val="22"/>
          <w:szCs w:val="22"/>
          <w:lang w:val="es-MX"/>
        </w:rPr>
        <w:t xml:space="preserve"> </w:t>
      </w:r>
      <w:r w:rsidRPr="00AB023C">
        <w:rPr>
          <w:rFonts w:ascii="Museo Sans 300" w:hAnsi="Museo Sans 300"/>
          <w:sz w:val="22"/>
          <w:szCs w:val="22"/>
          <w:lang w:val="es-MX"/>
        </w:rPr>
        <w:t>20</w:t>
      </w:r>
      <w:r w:rsidR="00D551BE" w:rsidRPr="00AB023C">
        <w:rPr>
          <w:rFonts w:ascii="Museo Sans 300" w:hAnsi="Museo Sans 300"/>
          <w:sz w:val="22"/>
          <w:szCs w:val="22"/>
          <w:lang w:val="es-MX"/>
        </w:rPr>
        <w:t>2</w:t>
      </w:r>
      <w:r w:rsidR="00E41D5E" w:rsidRPr="00AB023C">
        <w:rPr>
          <w:rFonts w:ascii="Museo Sans 300" w:hAnsi="Museo Sans 300"/>
          <w:sz w:val="22"/>
          <w:szCs w:val="22"/>
          <w:lang w:val="es-MX"/>
        </w:rPr>
        <w:t>2</w:t>
      </w:r>
      <w:r w:rsidR="00C82A86">
        <w:rPr>
          <w:rFonts w:ascii="Museo Sans 300" w:hAnsi="Museo Sans 300"/>
          <w:sz w:val="22"/>
          <w:szCs w:val="22"/>
          <w:lang w:val="es-MX"/>
        </w:rPr>
        <w:t>,</w:t>
      </w:r>
      <w:r w:rsidRPr="00AB023C">
        <w:rPr>
          <w:rFonts w:ascii="Museo Sans 300" w:hAnsi="Museo Sans 300"/>
          <w:sz w:val="22"/>
          <w:szCs w:val="22"/>
          <w:lang w:val="es-MX"/>
        </w:rPr>
        <w:t xml:space="preserve"> se muestra en la siguiente tabla.</w:t>
      </w:r>
    </w:p>
    <w:p w14:paraId="20FFDF0B" w14:textId="77777777" w:rsidR="00E41D5E" w:rsidRPr="00AB023C" w:rsidRDefault="00E41D5E" w:rsidP="00773139">
      <w:pPr>
        <w:jc w:val="both"/>
        <w:rPr>
          <w:rFonts w:ascii="Museo Sans 300" w:hAnsi="Museo Sans 300"/>
          <w:sz w:val="22"/>
          <w:szCs w:val="22"/>
          <w:lang w:val="es-MX"/>
        </w:rPr>
      </w:pPr>
    </w:p>
    <w:p w14:paraId="131C6491" w14:textId="77777777" w:rsidR="00724FE8" w:rsidRDefault="00724FE8" w:rsidP="00871062">
      <w:pPr>
        <w:jc w:val="center"/>
        <w:rPr>
          <w:rFonts w:ascii="Museo Sans 300" w:hAnsi="Museo Sans 300" w:cs="Arial"/>
          <w:b/>
          <w:sz w:val="22"/>
          <w:szCs w:val="22"/>
          <w:lang w:val="es-MX"/>
        </w:rPr>
      </w:pPr>
    </w:p>
    <w:p w14:paraId="434AD1A9" w14:textId="77777777" w:rsidR="00724FE8" w:rsidRDefault="00724FE8" w:rsidP="00871062">
      <w:pPr>
        <w:jc w:val="center"/>
        <w:rPr>
          <w:rFonts w:ascii="Museo Sans 300" w:hAnsi="Museo Sans 300" w:cs="Arial"/>
          <w:b/>
          <w:sz w:val="22"/>
          <w:szCs w:val="22"/>
          <w:lang w:val="es-MX"/>
        </w:rPr>
      </w:pPr>
    </w:p>
    <w:p w14:paraId="285A2912" w14:textId="77777777" w:rsidR="00724FE8" w:rsidRDefault="00724FE8" w:rsidP="00871062">
      <w:pPr>
        <w:jc w:val="center"/>
        <w:rPr>
          <w:rFonts w:ascii="Museo Sans 300" w:hAnsi="Museo Sans 300" w:cs="Arial"/>
          <w:b/>
          <w:sz w:val="22"/>
          <w:szCs w:val="22"/>
          <w:lang w:val="es-MX"/>
        </w:rPr>
      </w:pPr>
    </w:p>
    <w:p w14:paraId="25E667DD" w14:textId="77777777" w:rsidR="00724FE8" w:rsidRDefault="00724FE8" w:rsidP="00871062">
      <w:pPr>
        <w:jc w:val="center"/>
        <w:rPr>
          <w:rFonts w:ascii="Museo Sans 300" w:hAnsi="Museo Sans 300" w:cs="Arial"/>
          <w:b/>
          <w:sz w:val="22"/>
          <w:szCs w:val="22"/>
          <w:lang w:val="es-MX"/>
        </w:rPr>
      </w:pPr>
    </w:p>
    <w:p w14:paraId="132B5856" w14:textId="77777777" w:rsidR="00724FE8" w:rsidRDefault="00724FE8" w:rsidP="00871062">
      <w:pPr>
        <w:jc w:val="center"/>
        <w:rPr>
          <w:rFonts w:ascii="Museo Sans 300" w:hAnsi="Museo Sans 300" w:cs="Arial"/>
          <w:b/>
          <w:sz w:val="22"/>
          <w:szCs w:val="22"/>
          <w:lang w:val="es-MX"/>
        </w:rPr>
      </w:pPr>
    </w:p>
    <w:p w14:paraId="00E8A6ED" w14:textId="77777777" w:rsidR="00724FE8" w:rsidRDefault="00724FE8" w:rsidP="00871062">
      <w:pPr>
        <w:jc w:val="center"/>
        <w:rPr>
          <w:rFonts w:ascii="Museo Sans 300" w:hAnsi="Museo Sans 300" w:cs="Arial"/>
          <w:b/>
          <w:sz w:val="22"/>
          <w:szCs w:val="22"/>
          <w:lang w:val="es-MX"/>
        </w:rPr>
      </w:pPr>
    </w:p>
    <w:p w14:paraId="785870BD" w14:textId="77777777" w:rsidR="00724FE8" w:rsidRDefault="00724FE8" w:rsidP="00871062">
      <w:pPr>
        <w:jc w:val="center"/>
        <w:rPr>
          <w:rFonts w:ascii="Museo Sans 300" w:hAnsi="Museo Sans 300" w:cs="Arial"/>
          <w:b/>
          <w:sz w:val="22"/>
          <w:szCs w:val="22"/>
          <w:lang w:val="es-MX"/>
        </w:rPr>
      </w:pPr>
    </w:p>
    <w:p w14:paraId="73EA0E06" w14:textId="77777777" w:rsidR="00724FE8" w:rsidRDefault="00724FE8" w:rsidP="00871062">
      <w:pPr>
        <w:jc w:val="center"/>
        <w:rPr>
          <w:rFonts w:ascii="Museo Sans 300" w:hAnsi="Museo Sans 300" w:cs="Arial"/>
          <w:b/>
          <w:sz w:val="22"/>
          <w:szCs w:val="22"/>
          <w:lang w:val="es-MX"/>
        </w:rPr>
      </w:pPr>
    </w:p>
    <w:p w14:paraId="75290239" w14:textId="77777777" w:rsidR="00724FE8" w:rsidRDefault="00724FE8" w:rsidP="00871062">
      <w:pPr>
        <w:jc w:val="center"/>
        <w:rPr>
          <w:rFonts w:ascii="Museo Sans 300" w:hAnsi="Museo Sans 300" w:cs="Arial"/>
          <w:b/>
          <w:sz w:val="22"/>
          <w:szCs w:val="22"/>
          <w:lang w:val="es-MX"/>
        </w:rPr>
      </w:pPr>
    </w:p>
    <w:p w14:paraId="41474343" w14:textId="77777777" w:rsidR="00724FE8" w:rsidRDefault="00724FE8" w:rsidP="00871062">
      <w:pPr>
        <w:jc w:val="center"/>
        <w:rPr>
          <w:rFonts w:ascii="Museo Sans 300" w:hAnsi="Museo Sans 300" w:cs="Arial"/>
          <w:b/>
          <w:sz w:val="22"/>
          <w:szCs w:val="22"/>
          <w:lang w:val="es-MX"/>
        </w:rPr>
      </w:pPr>
    </w:p>
    <w:p w14:paraId="65EC333C" w14:textId="77777777" w:rsidR="00724FE8" w:rsidRDefault="00724FE8" w:rsidP="00871062">
      <w:pPr>
        <w:jc w:val="center"/>
        <w:rPr>
          <w:rFonts w:ascii="Museo Sans 300" w:hAnsi="Museo Sans 300" w:cs="Arial"/>
          <w:b/>
          <w:sz w:val="22"/>
          <w:szCs w:val="22"/>
          <w:lang w:val="es-MX"/>
        </w:rPr>
      </w:pPr>
    </w:p>
    <w:p w14:paraId="31767318" w14:textId="77777777" w:rsidR="00724FE8" w:rsidRDefault="00724FE8" w:rsidP="00871062">
      <w:pPr>
        <w:jc w:val="center"/>
        <w:rPr>
          <w:rFonts w:ascii="Museo Sans 300" w:hAnsi="Museo Sans 300" w:cs="Arial"/>
          <w:b/>
          <w:sz w:val="22"/>
          <w:szCs w:val="22"/>
          <w:lang w:val="es-MX"/>
        </w:rPr>
      </w:pPr>
    </w:p>
    <w:p w14:paraId="282A2195" w14:textId="77777777" w:rsidR="00724FE8" w:rsidRDefault="00724FE8" w:rsidP="00871062">
      <w:pPr>
        <w:jc w:val="center"/>
        <w:rPr>
          <w:rFonts w:ascii="Museo Sans 300" w:hAnsi="Museo Sans 300" w:cs="Arial"/>
          <w:b/>
          <w:sz w:val="22"/>
          <w:szCs w:val="22"/>
          <w:lang w:val="es-MX"/>
        </w:rPr>
      </w:pPr>
    </w:p>
    <w:p w14:paraId="73571E01" w14:textId="77777777" w:rsidR="00724FE8" w:rsidRDefault="00724FE8" w:rsidP="00871062">
      <w:pPr>
        <w:jc w:val="center"/>
        <w:rPr>
          <w:rFonts w:ascii="Museo Sans 300" w:hAnsi="Museo Sans 300" w:cs="Arial"/>
          <w:b/>
          <w:sz w:val="22"/>
          <w:szCs w:val="22"/>
          <w:lang w:val="es-MX"/>
        </w:rPr>
      </w:pPr>
    </w:p>
    <w:p w14:paraId="7026F423" w14:textId="77777777" w:rsidR="0044457B" w:rsidRPr="00CD1FD1" w:rsidRDefault="00871062" w:rsidP="00871062">
      <w:pPr>
        <w:jc w:val="center"/>
        <w:rPr>
          <w:rFonts w:ascii="Museo Sans 300" w:hAnsi="Museo Sans 300" w:cs="Arial"/>
          <w:b/>
          <w:sz w:val="22"/>
          <w:szCs w:val="22"/>
          <w:lang w:val="es-MX"/>
        </w:rPr>
      </w:pPr>
      <w:r w:rsidRPr="00AB023C">
        <w:rPr>
          <w:rFonts w:ascii="Museo Sans 300" w:hAnsi="Museo Sans 300" w:cs="Arial"/>
          <w:b/>
          <w:sz w:val="22"/>
          <w:szCs w:val="22"/>
          <w:lang w:val="es-MX"/>
        </w:rPr>
        <w:lastRenderedPageBreak/>
        <w:t>Tab</w:t>
      </w:r>
      <w:r w:rsidR="0044457B" w:rsidRPr="00AB023C">
        <w:rPr>
          <w:rFonts w:ascii="Museo Sans 300" w:hAnsi="Museo Sans 300" w:cs="Arial"/>
          <w:b/>
          <w:sz w:val="22"/>
          <w:szCs w:val="22"/>
          <w:lang w:val="es-MX"/>
        </w:rPr>
        <w:t>la</w:t>
      </w:r>
      <w:r w:rsidRPr="00AB023C">
        <w:rPr>
          <w:rFonts w:ascii="Museo Sans 300" w:hAnsi="Museo Sans 300" w:cs="Arial"/>
          <w:b/>
          <w:sz w:val="22"/>
          <w:szCs w:val="22"/>
          <w:lang w:val="es-MX"/>
        </w:rPr>
        <w:t xml:space="preserve"> </w:t>
      </w:r>
      <w:r w:rsidR="0044457B" w:rsidRPr="00AB023C">
        <w:rPr>
          <w:rFonts w:ascii="Museo Sans 300" w:hAnsi="Museo Sans 300" w:cs="Arial"/>
          <w:b/>
          <w:sz w:val="22"/>
          <w:szCs w:val="22"/>
          <w:lang w:val="es-MX"/>
        </w:rPr>
        <w:t>2</w:t>
      </w:r>
      <w:r w:rsidRPr="00AB023C">
        <w:rPr>
          <w:rFonts w:ascii="Museo Sans 300" w:hAnsi="Museo Sans 300" w:cs="Arial"/>
          <w:b/>
          <w:sz w:val="22"/>
          <w:szCs w:val="22"/>
          <w:lang w:val="es-MX"/>
        </w:rPr>
        <w:t>:</w:t>
      </w:r>
      <w:r w:rsidR="0044457B" w:rsidRPr="00AB023C">
        <w:rPr>
          <w:rFonts w:ascii="Museo Sans 300" w:hAnsi="Museo Sans 300" w:cs="Arial"/>
          <w:b/>
          <w:sz w:val="22"/>
          <w:szCs w:val="22"/>
          <w:lang w:val="es-MX"/>
        </w:rPr>
        <w:t xml:space="preserve"> </w:t>
      </w:r>
      <w:r w:rsidR="00ED3D89" w:rsidRPr="00AB023C">
        <w:rPr>
          <w:rFonts w:ascii="Museo Sans 300" w:hAnsi="Museo Sans 300" w:cs="Arial"/>
          <w:b/>
          <w:sz w:val="22"/>
          <w:szCs w:val="22"/>
          <w:lang w:val="es-MX"/>
        </w:rPr>
        <w:t>I</w:t>
      </w:r>
      <w:r w:rsidR="00DF7DE2" w:rsidRPr="00AB023C">
        <w:rPr>
          <w:rFonts w:ascii="Museo Sans 300" w:hAnsi="Museo Sans 300" w:cs="Arial"/>
          <w:b/>
          <w:sz w:val="22"/>
          <w:szCs w:val="22"/>
          <w:lang w:val="es-MX"/>
        </w:rPr>
        <w:t>ngresos corrientes</w:t>
      </w:r>
      <w:r w:rsidR="00DF7DE2" w:rsidRPr="00CD1FD1">
        <w:rPr>
          <w:rFonts w:ascii="Museo Sans 300" w:hAnsi="Museo Sans 300" w:cs="Arial"/>
          <w:b/>
          <w:sz w:val="22"/>
          <w:szCs w:val="22"/>
          <w:lang w:val="es-MX"/>
        </w:rPr>
        <w:t xml:space="preserve"> </w:t>
      </w:r>
      <w:r w:rsidR="00613FF3" w:rsidRPr="00CD1FD1">
        <w:rPr>
          <w:rFonts w:ascii="Museo Sans 300" w:hAnsi="Museo Sans 300" w:cs="Arial"/>
          <w:b/>
          <w:sz w:val="22"/>
          <w:szCs w:val="22"/>
          <w:lang w:val="es-MX"/>
        </w:rPr>
        <w:t xml:space="preserve">del Gobierno Central </w:t>
      </w:r>
      <w:r w:rsidRPr="00CD1FD1">
        <w:rPr>
          <w:rFonts w:ascii="Museo Sans 300" w:hAnsi="Museo Sans 300" w:cs="Arial"/>
          <w:b/>
          <w:sz w:val="22"/>
          <w:szCs w:val="22"/>
          <w:lang w:val="es-MX"/>
        </w:rPr>
        <w:t xml:space="preserve">al </w:t>
      </w:r>
      <w:r w:rsidR="00C722FC">
        <w:rPr>
          <w:rFonts w:ascii="Museo Sans 300" w:hAnsi="Museo Sans 300" w:cs="Arial"/>
          <w:b/>
          <w:sz w:val="22"/>
          <w:szCs w:val="22"/>
          <w:lang w:val="es-MX"/>
        </w:rPr>
        <w:t>segundo trimestre</w:t>
      </w:r>
      <w:r w:rsidRPr="00CD1FD1">
        <w:rPr>
          <w:rFonts w:ascii="Museo Sans 300" w:hAnsi="Museo Sans 300" w:cs="Arial"/>
          <w:b/>
          <w:sz w:val="22"/>
          <w:szCs w:val="22"/>
          <w:lang w:val="es-MX"/>
        </w:rPr>
        <w:t xml:space="preserve"> </w:t>
      </w:r>
      <w:r w:rsidR="0044457B" w:rsidRPr="00CD1FD1">
        <w:rPr>
          <w:rFonts w:ascii="Museo Sans 300" w:hAnsi="Museo Sans 300" w:cs="Arial"/>
          <w:b/>
          <w:sz w:val="22"/>
          <w:szCs w:val="22"/>
          <w:lang w:val="es-MX"/>
        </w:rPr>
        <w:t>de 202</w:t>
      </w:r>
      <w:r w:rsidR="00D249B2" w:rsidRPr="00CD1FD1">
        <w:rPr>
          <w:rFonts w:ascii="Museo Sans 300" w:hAnsi="Museo Sans 300" w:cs="Arial"/>
          <w:b/>
          <w:sz w:val="22"/>
          <w:szCs w:val="22"/>
          <w:lang w:val="es-MX"/>
        </w:rPr>
        <w:t>1</w:t>
      </w:r>
      <w:r w:rsidR="0044457B" w:rsidRPr="00CD1FD1">
        <w:rPr>
          <w:rFonts w:ascii="Museo Sans 300" w:hAnsi="Museo Sans 300" w:cs="Arial"/>
          <w:b/>
          <w:sz w:val="22"/>
          <w:szCs w:val="22"/>
          <w:lang w:val="es-MX"/>
        </w:rPr>
        <w:t xml:space="preserve">, </w:t>
      </w:r>
      <w:proofErr w:type="spellStart"/>
      <w:r w:rsidR="0044457B" w:rsidRPr="00CD1FD1">
        <w:rPr>
          <w:rFonts w:ascii="Museo Sans 300" w:hAnsi="Museo Sans 300" w:cs="Arial"/>
          <w:b/>
          <w:sz w:val="22"/>
          <w:szCs w:val="22"/>
          <w:lang w:val="es-MX"/>
        </w:rPr>
        <w:t>vrs</w:t>
      </w:r>
      <w:proofErr w:type="spellEnd"/>
      <w:r w:rsidR="0044457B" w:rsidRPr="00CD1FD1">
        <w:rPr>
          <w:rFonts w:ascii="Museo Sans 300" w:hAnsi="Museo Sans 300" w:cs="Arial"/>
          <w:b/>
          <w:sz w:val="22"/>
          <w:szCs w:val="22"/>
          <w:lang w:val="es-MX"/>
        </w:rPr>
        <w:t xml:space="preserve"> ejecutado </w:t>
      </w:r>
      <w:r w:rsidR="00581B7E" w:rsidRPr="00CD1FD1">
        <w:rPr>
          <w:rFonts w:ascii="Museo Sans 300" w:hAnsi="Museo Sans 300" w:cs="Arial"/>
          <w:b/>
          <w:sz w:val="22"/>
          <w:szCs w:val="22"/>
          <w:lang w:val="es-MX"/>
        </w:rPr>
        <w:t>202</w:t>
      </w:r>
      <w:r w:rsidR="00447D6A">
        <w:rPr>
          <w:rFonts w:ascii="Museo Sans 300" w:hAnsi="Museo Sans 300" w:cs="Arial"/>
          <w:b/>
          <w:sz w:val="22"/>
          <w:szCs w:val="22"/>
          <w:lang w:val="es-MX"/>
        </w:rPr>
        <w:t>2</w:t>
      </w:r>
      <w:r w:rsidR="0044457B" w:rsidRPr="00CD1FD1">
        <w:rPr>
          <w:rFonts w:ascii="Museo Sans 300" w:hAnsi="Museo Sans 300" w:cs="Arial"/>
          <w:b/>
          <w:sz w:val="22"/>
          <w:szCs w:val="22"/>
          <w:lang w:val="es-MX"/>
        </w:rPr>
        <w:t xml:space="preserve"> y presupuesto</w:t>
      </w:r>
      <w:r w:rsidR="00724FE8">
        <w:rPr>
          <w:rFonts w:ascii="Museo Sans 300" w:hAnsi="Museo Sans 300" w:cs="Arial"/>
          <w:b/>
          <w:sz w:val="22"/>
          <w:szCs w:val="22"/>
          <w:lang w:val="es-MX"/>
        </w:rPr>
        <w:t xml:space="preserve"> a junio</w:t>
      </w:r>
      <w:r w:rsidR="0044457B" w:rsidRPr="00CD1FD1">
        <w:rPr>
          <w:rFonts w:ascii="Museo Sans 300" w:hAnsi="Museo Sans 300" w:cs="Arial"/>
          <w:b/>
          <w:sz w:val="22"/>
          <w:szCs w:val="22"/>
          <w:lang w:val="es-MX"/>
        </w:rPr>
        <w:t xml:space="preserve"> 202</w:t>
      </w:r>
      <w:r w:rsidR="00447D6A">
        <w:rPr>
          <w:rFonts w:ascii="Museo Sans 300" w:hAnsi="Museo Sans 300" w:cs="Arial"/>
          <w:b/>
          <w:sz w:val="22"/>
          <w:szCs w:val="22"/>
          <w:lang w:val="es-MX"/>
        </w:rPr>
        <w:t>2</w:t>
      </w:r>
      <w:r w:rsidRPr="00CD1FD1">
        <w:rPr>
          <w:rFonts w:ascii="Museo Sans 300" w:hAnsi="Museo Sans 300" w:cs="Arial"/>
          <w:b/>
          <w:sz w:val="22"/>
          <w:szCs w:val="22"/>
          <w:lang w:val="es-MX"/>
        </w:rPr>
        <w:t>.</w:t>
      </w:r>
    </w:p>
    <w:p w14:paraId="2170D296" w14:textId="77777777" w:rsidR="0044457B" w:rsidRPr="00CD1FD1" w:rsidRDefault="0044457B" w:rsidP="0044457B">
      <w:pPr>
        <w:jc w:val="center"/>
        <w:rPr>
          <w:rFonts w:ascii="Museo Sans 300" w:hAnsi="Museo Sans 300" w:cs="Arial"/>
          <w:b/>
          <w:bCs/>
          <w:sz w:val="22"/>
          <w:szCs w:val="22"/>
          <w:lang w:val="es-SV" w:eastAsia="es-SV"/>
        </w:rPr>
      </w:pPr>
      <w:r w:rsidRPr="00CD1FD1">
        <w:rPr>
          <w:rFonts w:ascii="Museo Sans 300" w:hAnsi="Museo Sans 300" w:cs="Arial"/>
          <w:b/>
          <w:bCs/>
          <w:sz w:val="22"/>
          <w:szCs w:val="22"/>
          <w:lang w:val="es-SV" w:eastAsia="es-SV"/>
        </w:rPr>
        <w:t>(Montos en Millones de US$)</w:t>
      </w:r>
    </w:p>
    <w:p w14:paraId="004B7F51" w14:textId="77777777" w:rsidR="00231F0C" w:rsidRPr="00CD1FD1" w:rsidRDefault="00231F0C" w:rsidP="0044457B">
      <w:pPr>
        <w:jc w:val="center"/>
        <w:rPr>
          <w:rFonts w:ascii="Museo Sans 300" w:hAnsi="Museo Sans 300" w:cs="Arial"/>
          <w:b/>
          <w:bCs/>
          <w:sz w:val="22"/>
          <w:szCs w:val="22"/>
          <w:lang w:val="es-SV" w:eastAsia="es-SV"/>
        </w:rPr>
      </w:pPr>
    </w:p>
    <w:p w14:paraId="6B5FEA17" w14:textId="77777777" w:rsidR="0044457B" w:rsidRPr="00CD1FD1" w:rsidRDefault="00C82A86" w:rsidP="0000636C">
      <w:pPr>
        <w:jc w:val="center"/>
        <w:rPr>
          <w:rFonts w:ascii="Museo Sans 300" w:hAnsi="Museo Sans 300"/>
          <w:sz w:val="22"/>
          <w:szCs w:val="22"/>
          <w:lang w:val="es-SV"/>
        </w:rPr>
      </w:pPr>
      <w:r w:rsidRPr="00C82A86">
        <w:rPr>
          <w:noProof/>
        </w:rPr>
        <w:drawing>
          <wp:inline distT="0" distB="0" distL="0" distR="0" wp14:anchorId="51CA405E" wp14:editId="57143D40">
            <wp:extent cx="5070144" cy="55086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9223" cy="5529422"/>
                    </a:xfrm>
                    <a:prstGeom prst="rect">
                      <a:avLst/>
                    </a:prstGeom>
                    <a:noFill/>
                    <a:ln>
                      <a:noFill/>
                    </a:ln>
                  </pic:spPr>
                </pic:pic>
              </a:graphicData>
            </a:graphic>
          </wp:inline>
        </w:drawing>
      </w:r>
    </w:p>
    <w:p w14:paraId="59A45FE1" w14:textId="77777777" w:rsidR="00ED3D89" w:rsidRDefault="00ED3D89" w:rsidP="009B117C">
      <w:pPr>
        <w:pStyle w:val="Ttulo2"/>
        <w:rPr>
          <w:rFonts w:ascii="Museo Sans 300" w:hAnsi="Museo Sans 300"/>
          <w:b/>
          <w:sz w:val="22"/>
          <w:szCs w:val="22"/>
          <w:lang w:val="es-MX"/>
        </w:rPr>
      </w:pPr>
      <w:bookmarkStart w:id="29" w:name="_Toc56581207"/>
    </w:p>
    <w:p w14:paraId="11FF15C7" w14:textId="77777777" w:rsidR="00BE54F5" w:rsidRPr="00CD1FD1" w:rsidRDefault="009B117C" w:rsidP="009B117C">
      <w:pPr>
        <w:pStyle w:val="Ttulo2"/>
        <w:rPr>
          <w:rFonts w:ascii="Museo Sans 300" w:hAnsi="Museo Sans 300"/>
          <w:b/>
          <w:sz w:val="22"/>
          <w:szCs w:val="22"/>
          <w:lang w:val="es-MX"/>
        </w:rPr>
      </w:pPr>
      <w:bookmarkStart w:id="30" w:name="_Toc116389134"/>
      <w:r w:rsidRPr="00CD1FD1">
        <w:rPr>
          <w:rFonts w:ascii="Museo Sans 300" w:hAnsi="Museo Sans 300"/>
          <w:b/>
          <w:sz w:val="22"/>
          <w:szCs w:val="22"/>
          <w:lang w:val="es-MX"/>
        </w:rPr>
        <w:t xml:space="preserve">1.2 </w:t>
      </w:r>
      <w:r w:rsidR="00BE54F5" w:rsidRPr="00CD1FD1">
        <w:rPr>
          <w:rFonts w:ascii="Museo Sans 300" w:hAnsi="Museo Sans 300"/>
          <w:b/>
          <w:sz w:val="22"/>
          <w:szCs w:val="22"/>
          <w:lang w:val="es-MX"/>
        </w:rPr>
        <w:t xml:space="preserve">Ingresos no </w:t>
      </w:r>
      <w:r w:rsidR="006007E8" w:rsidRPr="00CD1FD1">
        <w:rPr>
          <w:rFonts w:ascii="Museo Sans 300" w:hAnsi="Museo Sans 300"/>
          <w:b/>
          <w:sz w:val="22"/>
          <w:szCs w:val="22"/>
          <w:lang w:val="es-MX"/>
        </w:rPr>
        <w:t>T</w:t>
      </w:r>
      <w:r w:rsidR="00BE54F5" w:rsidRPr="00CD1FD1">
        <w:rPr>
          <w:rFonts w:ascii="Museo Sans 300" w:hAnsi="Museo Sans 300"/>
          <w:b/>
          <w:sz w:val="22"/>
          <w:szCs w:val="22"/>
          <w:lang w:val="es-MX"/>
        </w:rPr>
        <w:t>ributarios</w:t>
      </w:r>
      <w:bookmarkEnd w:id="26"/>
      <w:bookmarkEnd w:id="27"/>
      <w:bookmarkEnd w:id="28"/>
      <w:bookmarkEnd w:id="29"/>
      <w:bookmarkEnd w:id="30"/>
    </w:p>
    <w:p w14:paraId="01F3415F" w14:textId="77777777" w:rsidR="00BE54F5" w:rsidRPr="00CD1FD1" w:rsidRDefault="00BE54F5" w:rsidP="004A685A">
      <w:pPr>
        <w:jc w:val="both"/>
        <w:rPr>
          <w:rFonts w:ascii="Museo Sans 300" w:hAnsi="Museo Sans 300"/>
          <w:sz w:val="22"/>
          <w:szCs w:val="22"/>
          <w:lang w:val="es-MX"/>
        </w:rPr>
      </w:pPr>
    </w:p>
    <w:p w14:paraId="6C1F9753" w14:textId="77777777" w:rsidR="00212C48" w:rsidRPr="00212C48" w:rsidRDefault="00212C48" w:rsidP="00BE1098">
      <w:pPr>
        <w:tabs>
          <w:tab w:val="left" w:pos="0"/>
          <w:tab w:val="left" w:pos="9214"/>
        </w:tabs>
        <w:autoSpaceDE w:val="0"/>
        <w:autoSpaceDN w:val="0"/>
        <w:adjustRightInd w:val="0"/>
        <w:spacing w:after="140"/>
        <w:jc w:val="both"/>
        <w:rPr>
          <w:rFonts w:ascii="Museo Sans 300" w:hAnsi="Museo Sans 300" w:cs="Arial"/>
          <w:iCs/>
          <w:sz w:val="22"/>
          <w:szCs w:val="22"/>
          <w:lang w:val="es-419"/>
        </w:rPr>
      </w:pPr>
      <w:r w:rsidRPr="00212C48">
        <w:rPr>
          <w:rFonts w:ascii="Museo Sans 300" w:hAnsi="Museo Sans 300"/>
          <w:sz w:val="22"/>
          <w:szCs w:val="22"/>
          <w:lang w:val="es-MX"/>
        </w:rPr>
        <w:t>Los ingresos no tributarios a nivel de SPNF registraron un monto de $505.6 millones, incrementándose en $46.2 millones en relación al mes de junio 2021, resultado de aumentos en el Resto de Gobierno General $42.9 millones, producto de incremento en las contribuciones a la Seguridad Social</w:t>
      </w:r>
      <w:r>
        <w:rPr>
          <w:rFonts w:ascii="Museo Sans 300" w:hAnsi="Museo Sans 300"/>
          <w:sz w:val="22"/>
          <w:szCs w:val="22"/>
          <w:lang w:val="es-MX"/>
        </w:rPr>
        <w:t xml:space="preserve"> y</w:t>
      </w:r>
      <w:r w:rsidRPr="00D20546">
        <w:rPr>
          <w:rFonts w:ascii="Museo Sans 300" w:hAnsi="Museo Sans 300" w:cs="Arial"/>
          <w:i/>
          <w:iCs/>
          <w:sz w:val="22"/>
          <w:szCs w:val="22"/>
        </w:rPr>
        <w:t xml:space="preserve"> </w:t>
      </w:r>
      <w:r w:rsidRPr="00212C48">
        <w:rPr>
          <w:rFonts w:ascii="Museo Sans 300" w:hAnsi="Museo Sans 300" w:cs="Arial"/>
          <w:iCs/>
          <w:sz w:val="22"/>
          <w:szCs w:val="22"/>
          <w:lang w:val="es-419"/>
        </w:rPr>
        <w:t>las Empresas Públicas no Financieras reportan un incremento anual de $ 9.5 millones.</w:t>
      </w:r>
    </w:p>
    <w:bookmarkEnd w:id="21"/>
    <w:bookmarkEnd w:id="22"/>
    <w:bookmarkEnd w:id="23"/>
    <w:p w14:paraId="12FD45BE" w14:textId="77777777" w:rsidR="00085376" w:rsidRDefault="00085376" w:rsidP="00085376">
      <w:pPr>
        <w:rPr>
          <w:rFonts w:ascii="Museo Sans 300" w:hAnsi="Museo Sans 300"/>
          <w:sz w:val="22"/>
          <w:szCs w:val="22"/>
          <w:lang w:val="es-MX"/>
        </w:rPr>
      </w:pPr>
    </w:p>
    <w:p w14:paraId="19693483" w14:textId="77777777" w:rsidR="00285FD5" w:rsidRDefault="00285FD5" w:rsidP="00085376">
      <w:pPr>
        <w:rPr>
          <w:rFonts w:ascii="Museo Sans 300" w:hAnsi="Museo Sans 300"/>
          <w:sz w:val="22"/>
          <w:szCs w:val="22"/>
          <w:lang w:val="es-MX"/>
        </w:rPr>
      </w:pPr>
    </w:p>
    <w:p w14:paraId="741038B0" w14:textId="77777777" w:rsidR="00285FD5" w:rsidRDefault="00285FD5" w:rsidP="00085376">
      <w:pPr>
        <w:rPr>
          <w:rFonts w:ascii="Museo Sans 300" w:hAnsi="Museo Sans 300"/>
          <w:sz w:val="22"/>
          <w:szCs w:val="22"/>
          <w:lang w:val="es-MX"/>
        </w:rPr>
      </w:pPr>
    </w:p>
    <w:p w14:paraId="2D5BB37F" w14:textId="77777777" w:rsidR="00BE54F5" w:rsidRPr="00CD1FD1" w:rsidRDefault="00442DE5" w:rsidP="009B117C">
      <w:pPr>
        <w:pStyle w:val="Ttulo2"/>
        <w:rPr>
          <w:rFonts w:ascii="Museo Sans 300" w:hAnsi="Museo Sans 300"/>
          <w:b/>
          <w:sz w:val="22"/>
          <w:szCs w:val="22"/>
          <w:lang w:val="es-MX"/>
        </w:rPr>
      </w:pPr>
      <w:r w:rsidRPr="00CD1FD1">
        <w:rPr>
          <w:rFonts w:ascii="Museo Sans 300" w:hAnsi="Museo Sans 300"/>
          <w:b/>
          <w:sz w:val="22"/>
          <w:szCs w:val="22"/>
          <w:lang w:val="es-MX"/>
        </w:rPr>
        <w:lastRenderedPageBreak/>
        <w:t xml:space="preserve"> </w:t>
      </w:r>
      <w:bookmarkStart w:id="31" w:name="_Toc56581208"/>
      <w:bookmarkStart w:id="32" w:name="_Toc116389135"/>
      <w:r w:rsidR="009B117C" w:rsidRPr="00CD1FD1">
        <w:rPr>
          <w:rFonts w:ascii="Museo Sans 300" w:hAnsi="Museo Sans 300"/>
          <w:b/>
          <w:sz w:val="22"/>
          <w:szCs w:val="22"/>
          <w:lang w:val="es-MX"/>
        </w:rPr>
        <w:t xml:space="preserve">1.3 </w:t>
      </w:r>
      <w:r w:rsidR="0033442F" w:rsidRPr="00CD1FD1">
        <w:rPr>
          <w:rFonts w:ascii="Museo Sans 300" w:hAnsi="Museo Sans 300"/>
          <w:b/>
          <w:sz w:val="22"/>
          <w:szCs w:val="22"/>
          <w:lang w:val="es-MX"/>
        </w:rPr>
        <w:t>Superávit de l</w:t>
      </w:r>
      <w:r w:rsidR="00BE54F5" w:rsidRPr="00CD1FD1">
        <w:rPr>
          <w:rFonts w:ascii="Museo Sans 300" w:hAnsi="Museo Sans 300"/>
          <w:b/>
          <w:sz w:val="22"/>
          <w:szCs w:val="22"/>
          <w:lang w:val="es-MX"/>
        </w:rPr>
        <w:t xml:space="preserve">as Empresas Públicas </w:t>
      </w:r>
      <w:r w:rsidR="00F71F6D" w:rsidRPr="00CD1FD1">
        <w:rPr>
          <w:rFonts w:ascii="Museo Sans 300" w:hAnsi="Museo Sans 300"/>
          <w:b/>
          <w:sz w:val="22"/>
          <w:szCs w:val="22"/>
          <w:lang w:val="es-MX"/>
        </w:rPr>
        <w:t>N</w:t>
      </w:r>
      <w:r w:rsidR="00BE54F5" w:rsidRPr="00CD1FD1">
        <w:rPr>
          <w:rFonts w:ascii="Museo Sans 300" w:hAnsi="Museo Sans 300"/>
          <w:b/>
          <w:sz w:val="22"/>
          <w:szCs w:val="22"/>
          <w:lang w:val="es-MX"/>
        </w:rPr>
        <w:t>o Financieras</w:t>
      </w:r>
      <w:bookmarkEnd w:id="31"/>
      <w:bookmarkEnd w:id="32"/>
      <w:r w:rsidR="00BE54F5" w:rsidRPr="00CD1FD1">
        <w:rPr>
          <w:rFonts w:ascii="Museo Sans 300" w:hAnsi="Museo Sans 300"/>
          <w:b/>
          <w:sz w:val="22"/>
          <w:szCs w:val="22"/>
          <w:lang w:val="es-MX"/>
        </w:rPr>
        <w:t xml:space="preserve"> </w:t>
      </w:r>
    </w:p>
    <w:p w14:paraId="3201D6D8" w14:textId="77777777" w:rsidR="00BE54F5" w:rsidRPr="00CD1FD1" w:rsidRDefault="00BE54F5" w:rsidP="00BE54F5">
      <w:pPr>
        <w:jc w:val="both"/>
        <w:rPr>
          <w:rFonts w:ascii="Museo Sans 300" w:hAnsi="Museo Sans 300"/>
          <w:sz w:val="22"/>
          <w:szCs w:val="22"/>
          <w:lang w:val="es-MX"/>
        </w:rPr>
      </w:pPr>
    </w:p>
    <w:p w14:paraId="0B9BEFCB" w14:textId="77777777" w:rsidR="00212C48" w:rsidRPr="00212C48" w:rsidRDefault="00212C48" w:rsidP="00212C48">
      <w:pPr>
        <w:ind w:right="-32"/>
        <w:jc w:val="both"/>
        <w:rPr>
          <w:rFonts w:ascii="Museo Sans 300" w:hAnsi="Museo Sans 300"/>
          <w:sz w:val="22"/>
          <w:szCs w:val="22"/>
          <w:lang w:val="es-MX"/>
        </w:rPr>
      </w:pPr>
      <w:bookmarkStart w:id="33" w:name="_Toc308681665"/>
      <w:bookmarkStart w:id="34" w:name="_Toc319049211"/>
      <w:bookmarkStart w:id="35" w:name="_Toc411843463"/>
      <w:r w:rsidRPr="00212C48">
        <w:rPr>
          <w:rFonts w:ascii="Museo Sans 300" w:hAnsi="Museo Sans 300"/>
          <w:sz w:val="22"/>
          <w:szCs w:val="22"/>
          <w:lang w:val="es-MX"/>
        </w:rPr>
        <w:t xml:space="preserve">Por otra parte las Empresas Públicas No Financieras registran un  superavit de operación de $64.2 millones, experimentando un incremento  con respecto a junio 2021 de $15.5 millones, el resultado proviene de una reducción mayor de los gastos de operación con respecto al incremento mostrado en los Ingresos de operación, este comportamiento se refleja principalmente en ANDA, donde se observa un descenso importante en sus gastos de operación. </w:t>
      </w:r>
    </w:p>
    <w:p w14:paraId="784AF19F" w14:textId="77777777" w:rsidR="00212C48" w:rsidRPr="00212C48" w:rsidRDefault="00212C48" w:rsidP="00533421">
      <w:pPr>
        <w:ind w:right="-32"/>
        <w:jc w:val="both"/>
        <w:rPr>
          <w:rFonts w:ascii="Museo Sans 300" w:hAnsi="Museo Sans 300" w:cs="Arial"/>
          <w:noProof/>
          <w:sz w:val="22"/>
          <w:szCs w:val="22"/>
        </w:rPr>
      </w:pPr>
    </w:p>
    <w:p w14:paraId="6E244769" w14:textId="77777777" w:rsidR="00BE54F5" w:rsidRPr="00CD1FD1" w:rsidRDefault="00BF745F" w:rsidP="009B117C">
      <w:pPr>
        <w:pStyle w:val="Ttulo2"/>
        <w:rPr>
          <w:rFonts w:ascii="Museo Sans 300" w:hAnsi="Museo Sans 300"/>
          <w:b/>
          <w:sz w:val="22"/>
          <w:szCs w:val="22"/>
          <w:lang w:val="es-MX"/>
        </w:rPr>
      </w:pPr>
      <w:bookmarkStart w:id="36" w:name="_Toc56581209"/>
      <w:bookmarkStart w:id="37" w:name="_Toc116389136"/>
      <w:r w:rsidRPr="00CD1FD1">
        <w:rPr>
          <w:rFonts w:ascii="Museo Sans 300" w:hAnsi="Museo Sans 300"/>
          <w:b/>
          <w:sz w:val="22"/>
          <w:szCs w:val="22"/>
          <w:lang w:val="es-MX"/>
        </w:rPr>
        <w:t>1</w:t>
      </w:r>
      <w:r w:rsidR="009B117C" w:rsidRPr="00CD1FD1">
        <w:rPr>
          <w:rFonts w:ascii="Museo Sans 300" w:hAnsi="Museo Sans 300"/>
          <w:b/>
          <w:sz w:val="22"/>
          <w:szCs w:val="22"/>
          <w:lang w:val="es-MX"/>
        </w:rPr>
        <w:t xml:space="preserve">.4 </w:t>
      </w:r>
      <w:r w:rsidR="00BE54F5" w:rsidRPr="00CD1FD1">
        <w:rPr>
          <w:rFonts w:ascii="Museo Sans 300" w:hAnsi="Museo Sans 300"/>
          <w:b/>
          <w:sz w:val="22"/>
          <w:szCs w:val="22"/>
          <w:lang w:val="es-MX"/>
        </w:rPr>
        <w:t>Donaciones</w:t>
      </w:r>
      <w:bookmarkEnd w:id="33"/>
      <w:bookmarkEnd w:id="34"/>
      <w:bookmarkEnd w:id="35"/>
      <w:bookmarkEnd w:id="36"/>
      <w:bookmarkEnd w:id="37"/>
    </w:p>
    <w:p w14:paraId="00D481A8" w14:textId="77777777" w:rsidR="00BE54F5" w:rsidRPr="00CD1FD1" w:rsidRDefault="00BE54F5" w:rsidP="004A685A">
      <w:pPr>
        <w:jc w:val="both"/>
        <w:rPr>
          <w:rFonts w:ascii="Museo Sans 300" w:hAnsi="Museo Sans 300"/>
          <w:sz w:val="22"/>
          <w:szCs w:val="22"/>
          <w:lang w:val="es-MX"/>
        </w:rPr>
      </w:pPr>
    </w:p>
    <w:p w14:paraId="737EBCE8" w14:textId="77777777" w:rsidR="00233051" w:rsidRPr="00CD1FD1" w:rsidRDefault="00233051" w:rsidP="00233051">
      <w:pPr>
        <w:ind w:right="-32"/>
        <w:jc w:val="both"/>
        <w:rPr>
          <w:rFonts w:ascii="Museo Sans 300" w:hAnsi="Museo Sans 300" w:cs="Arial"/>
          <w:noProof/>
          <w:sz w:val="22"/>
          <w:szCs w:val="22"/>
          <w:lang w:val="es-SV"/>
        </w:rPr>
      </w:pPr>
      <w:bookmarkStart w:id="38" w:name="_Toc411843464"/>
      <w:bookmarkStart w:id="39" w:name="_Toc505951456"/>
      <w:r w:rsidRPr="00CD1FD1">
        <w:rPr>
          <w:rFonts w:ascii="Museo Sans 300" w:hAnsi="Museo Sans 300" w:cs="Arial"/>
          <w:noProof/>
          <w:sz w:val="22"/>
          <w:szCs w:val="22"/>
          <w:lang w:val="es-SV"/>
        </w:rPr>
        <w:t xml:space="preserve">Finalmente, las donaciones registraron un total de </w:t>
      </w:r>
      <w:r w:rsidR="00290D10" w:rsidRPr="00CD1FD1">
        <w:rPr>
          <w:rFonts w:ascii="Museo Sans 300" w:hAnsi="Museo Sans 300" w:cs="Arial"/>
          <w:noProof/>
          <w:sz w:val="22"/>
          <w:szCs w:val="22"/>
          <w:lang w:val="es-SV"/>
        </w:rPr>
        <w:t>$</w:t>
      </w:r>
      <w:r w:rsidR="00212C48">
        <w:rPr>
          <w:rFonts w:ascii="Museo Sans 300" w:hAnsi="Museo Sans 300" w:cs="Arial"/>
          <w:noProof/>
          <w:sz w:val="22"/>
          <w:szCs w:val="22"/>
          <w:lang w:val="es-SV"/>
        </w:rPr>
        <w:t>9.7</w:t>
      </w:r>
      <w:r w:rsidR="00290D10" w:rsidRPr="00CD1FD1">
        <w:rPr>
          <w:rFonts w:ascii="Museo Sans 300" w:hAnsi="Museo Sans 300" w:cs="Arial"/>
          <w:noProof/>
          <w:sz w:val="22"/>
          <w:szCs w:val="22"/>
          <w:lang w:val="es-SV"/>
        </w:rPr>
        <w:t xml:space="preserve"> millones, </w:t>
      </w:r>
      <w:r w:rsidRPr="00CD1FD1">
        <w:rPr>
          <w:rFonts w:ascii="Museo Sans 300" w:hAnsi="Museo Sans 300" w:cs="Arial"/>
          <w:noProof/>
          <w:sz w:val="22"/>
          <w:szCs w:val="22"/>
          <w:lang w:val="es-SV"/>
        </w:rPr>
        <w:t xml:space="preserve">se </w:t>
      </w:r>
      <w:r w:rsidR="00926BCC" w:rsidRPr="00CD1FD1">
        <w:rPr>
          <w:rFonts w:ascii="Museo Sans 300" w:hAnsi="Museo Sans 300" w:cs="Arial"/>
          <w:noProof/>
          <w:sz w:val="22"/>
          <w:szCs w:val="22"/>
          <w:lang w:val="es-SV"/>
        </w:rPr>
        <w:t>aumen</w:t>
      </w:r>
      <w:r w:rsidR="0033442F" w:rsidRPr="00CD1FD1">
        <w:rPr>
          <w:rFonts w:ascii="Museo Sans 300" w:hAnsi="Museo Sans 300" w:cs="Arial"/>
          <w:noProof/>
          <w:sz w:val="22"/>
          <w:szCs w:val="22"/>
          <w:lang w:val="es-SV"/>
        </w:rPr>
        <w:t>t</w:t>
      </w:r>
      <w:r w:rsidR="00926BCC" w:rsidRPr="00CD1FD1">
        <w:rPr>
          <w:rFonts w:ascii="Museo Sans 300" w:hAnsi="Museo Sans 300" w:cs="Arial"/>
          <w:noProof/>
          <w:sz w:val="22"/>
          <w:szCs w:val="22"/>
          <w:lang w:val="es-SV"/>
        </w:rPr>
        <w:t>aron</w:t>
      </w:r>
      <w:r w:rsidRPr="00CD1FD1">
        <w:rPr>
          <w:rFonts w:ascii="Museo Sans 300" w:hAnsi="Museo Sans 300" w:cs="Arial"/>
          <w:noProof/>
          <w:sz w:val="22"/>
          <w:szCs w:val="22"/>
          <w:lang w:val="es-SV"/>
        </w:rPr>
        <w:t xml:space="preserve"> en $</w:t>
      </w:r>
      <w:r w:rsidR="00212C48">
        <w:rPr>
          <w:rFonts w:ascii="Museo Sans 300" w:hAnsi="Museo Sans 300" w:cs="Arial"/>
          <w:noProof/>
          <w:sz w:val="22"/>
          <w:szCs w:val="22"/>
          <w:lang w:val="es-SV"/>
        </w:rPr>
        <w:t>4.0</w:t>
      </w:r>
      <w:r w:rsidRPr="00CD1FD1">
        <w:rPr>
          <w:rFonts w:ascii="Museo Sans 300" w:hAnsi="Museo Sans 300" w:cs="Arial"/>
          <w:noProof/>
          <w:sz w:val="22"/>
          <w:szCs w:val="22"/>
          <w:lang w:val="es-SV"/>
        </w:rPr>
        <w:t xml:space="preserve"> millones con respecto </w:t>
      </w:r>
      <w:r w:rsidR="00355D4B" w:rsidRPr="00CD1FD1">
        <w:rPr>
          <w:rFonts w:ascii="Museo Sans 300" w:hAnsi="Museo Sans 300" w:cs="Arial"/>
          <w:noProof/>
          <w:sz w:val="22"/>
          <w:szCs w:val="22"/>
          <w:lang w:val="es-SV"/>
        </w:rPr>
        <w:t xml:space="preserve">a </w:t>
      </w:r>
      <w:r w:rsidR="00C722FC">
        <w:rPr>
          <w:rFonts w:ascii="Museo Sans 300" w:hAnsi="Museo Sans 300" w:cs="Arial"/>
          <w:noProof/>
          <w:sz w:val="22"/>
          <w:szCs w:val="22"/>
          <w:lang w:val="es-SV"/>
        </w:rPr>
        <w:t>junio</w:t>
      </w:r>
      <w:r w:rsidR="00355D4B" w:rsidRPr="00CD1FD1">
        <w:rPr>
          <w:rFonts w:ascii="Museo Sans 300" w:hAnsi="Museo Sans 300" w:cs="Arial"/>
          <w:noProof/>
          <w:sz w:val="22"/>
          <w:szCs w:val="22"/>
          <w:lang w:val="es-SV"/>
        </w:rPr>
        <w:t xml:space="preserve"> 202</w:t>
      </w:r>
      <w:r w:rsidR="0041595F">
        <w:rPr>
          <w:rFonts w:ascii="Museo Sans 300" w:hAnsi="Museo Sans 300" w:cs="Arial"/>
          <w:noProof/>
          <w:sz w:val="22"/>
          <w:szCs w:val="22"/>
          <w:lang w:val="es-SV"/>
        </w:rPr>
        <w:t>1</w:t>
      </w:r>
      <w:r w:rsidR="00926BCC" w:rsidRPr="00CD1FD1">
        <w:rPr>
          <w:rFonts w:ascii="Museo Sans 300" w:hAnsi="Museo Sans 300" w:cs="Arial"/>
          <w:noProof/>
          <w:sz w:val="22"/>
          <w:szCs w:val="22"/>
          <w:lang w:val="es-SV"/>
        </w:rPr>
        <w:t>.</w:t>
      </w:r>
    </w:p>
    <w:p w14:paraId="6021F6EF" w14:textId="77777777" w:rsidR="00233051" w:rsidRPr="00CD1FD1" w:rsidRDefault="00233051" w:rsidP="0011125B">
      <w:pPr>
        <w:ind w:right="-32"/>
        <w:jc w:val="both"/>
        <w:rPr>
          <w:rFonts w:ascii="Museo Sans 300" w:hAnsi="Museo Sans 300" w:cs="Arial"/>
          <w:noProof/>
          <w:sz w:val="22"/>
          <w:szCs w:val="22"/>
          <w:lang w:val="es-SV"/>
        </w:rPr>
      </w:pPr>
    </w:p>
    <w:p w14:paraId="120B0E5C" w14:textId="77777777" w:rsidR="00BE54F5" w:rsidRPr="00CD1FD1" w:rsidRDefault="00AA7D08" w:rsidP="00D834F7">
      <w:pPr>
        <w:pStyle w:val="Ttulo3"/>
        <w:rPr>
          <w:rFonts w:ascii="Museo Sans 300" w:hAnsi="Museo Sans 300"/>
          <w:sz w:val="22"/>
          <w:szCs w:val="22"/>
          <w:lang w:val="es-MX"/>
        </w:rPr>
      </w:pPr>
      <w:bookmarkStart w:id="40" w:name="_Toc56581210"/>
      <w:bookmarkStart w:id="41" w:name="_Toc116389137"/>
      <w:r w:rsidRPr="00CD1FD1">
        <w:rPr>
          <w:rFonts w:ascii="Museo Sans 300" w:hAnsi="Museo Sans 300"/>
          <w:b/>
          <w:sz w:val="22"/>
          <w:szCs w:val="22"/>
          <w:lang w:val="es-MX"/>
        </w:rPr>
        <w:t>2</w:t>
      </w:r>
      <w:r w:rsidR="009B117C" w:rsidRPr="00CD1FD1">
        <w:rPr>
          <w:rFonts w:ascii="Museo Sans 300" w:hAnsi="Museo Sans 300"/>
          <w:b/>
          <w:sz w:val="22"/>
          <w:szCs w:val="22"/>
          <w:lang w:val="es-MX"/>
        </w:rPr>
        <w:t xml:space="preserve">. </w:t>
      </w:r>
      <w:r w:rsidR="00BE54F5" w:rsidRPr="00CD1FD1">
        <w:rPr>
          <w:rFonts w:ascii="Museo Sans 300" w:hAnsi="Museo Sans 300"/>
          <w:b/>
          <w:sz w:val="22"/>
          <w:szCs w:val="22"/>
          <w:lang w:val="es-MX"/>
        </w:rPr>
        <w:t>Gasto</w:t>
      </w:r>
      <w:r w:rsidR="007B1E8F" w:rsidRPr="00CD1FD1">
        <w:rPr>
          <w:rFonts w:ascii="Museo Sans 300" w:hAnsi="Museo Sans 300"/>
          <w:b/>
          <w:sz w:val="22"/>
          <w:szCs w:val="22"/>
          <w:lang w:val="es-MX"/>
        </w:rPr>
        <w:t>s</w:t>
      </w:r>
      <w:r w:rsidR="00BE54F5" w:rsidRPr="00CD1FD1">
        <w:rPr>
          <w:rFonts w:ascii="Museo Sans 300" w:hAnsi="Museo Sans 300"/>
          <w:b/>
          <w:sz w:val="22"/>
          <w:szCs w:val="22"/>
          <w:lang w:val="es-MX"/>
        </w:rPr>
        <w:t xml:space="preserve"> del Sector Público No Financiero</w:t>
      </w:r>
      <w:bookmarkEnd w:id="38"/>
      <w:bookmarkEnd w:id="39"/>
      <w:bookmarkEnd w:id="40"/>
      <w:r w:rsidR="00B2286A" w:rsidRPr="00CD1FD1">
        <w:rPr>
          <w:rFonts w:ascii="Museo Sans 300" w:hAnsi="Museo Sans 300"/>
          <w:sz w:val="22"/>
          <w:szCs w:val="22"/>
          <w:lang w:val="es-MX"/>
        </w:rPr>
        <w:t xml:space="preserve"> </w:t>
      </w:r>
      <w:r w:rsidR="00996C7C" w:rsidRPr="00CD1FD1">
        <w:rPr>
          <w:rFonts w:ascii="Museo Sans 300" w:hAnsi="Museo Sans 300"/>
          <w:sz w:val="22"/>
          <w:szCs w:val="22"/>
          <w:lang w:val="es-MX"/>
        </w:rPr>
        <w:t>(ver anexo 1</w:t>
      </w:r>
      <w:r w:rsidR="00404593" w:rsidRPr="00CD1FD1">
        <w:rPr>
          <w:rFonts w:ascii="Museo Sans 300" w:hAnsi="Museo Sans 300"/>
          <w:sz w:val="22"/>
          <w:szCs w:val="22"/>
          <w:lang w:val="es-MX"/>
        </w:rPr>
        <w:t xml:space="preserve"> y 2</w:t>
      </w:r>
      <w:r w:rsidR="00996C7C" w:rsidRPr="00CD1FD1">
        <w:rPr>
          <w:rFonts w:ascii="Museo Sans 300" w:hAnsi="Museo Sans 300"/>
          <w:sz w:val="22"/>
          <w:szCs w:val="22"/>
          <w:lang w:val="es-MX"/>
        </w:rPr>
        <w:t>)</w:t>
      </w:r>
      <w:bookmarkEnd w:id="41"/>
    </w:p>
    <w:p w14:paraId="4D32A99A" w14:textId="77777777" w:rsidR="00F87661" w:rsidRPr="00CD1FD1" w:rsidRDefault="00F87661" w:rsidP="00F87661">
      <w:pPr>
        <w:rPr>
          <w:rFonts w:ascii="Museo Sans 300" w:hAnsi="Museo Sans 300"/>
          <w:sz w:val="22"/>
          <w:szCs w:val="22"/>
          <w:lang w:val="es-MX"/>
        </w:rPr>
      </w:pPr>
    </w:p>
    <w:p w14:paraId="2BA14C0B" w14:textId="77777777" w:rsidR="002B76EB" w:rsidRPr="002B76EB" w:rsidRDefault="002B76EB" w:rsidP="002B76EB">
      <w:pPr>
        <w:ind w:right="-32"/>
        <w:jc w:val="both"/>
        <w:rPr>
          <w:rFonts w:ascii="Museo Sans 300" w:hAnsi="Museo Sans 300" w:cs="Arial"/>
          <w:iCs/>
          <w:sz w:val="22"/>
          <w:szCs w:val="22"/>
          <w:lang w:val="es-MX"/>
        </w:rPr>
      </w:pPr>
      <w:r w:rsidRPr="002B76EB">
        <w:rPr>
          <w:rFonts w:ascii="Museo Sans 300" w:hAnsi="Museo Sans 300" w:cs="Arial"/>
          <w:iCs/>
          <w:sz w:val="22"/>
          <w:szCs w:val="22"/>
          <w:lang w:val="es-MX"/>
        </w:rPr>
        <w:t>La ejecución del gasto total del SPNF al mes de junio de 2022 ascendió a $4,157.0 millones, con un aumento de $180.3 millones con respecto al año anterior, originado principalmente por el incremento de los gastos corrientes.</w:t>
      </w:r>
      <w:r>
        <w:rPr>
          <w:rFonts w:ascii="Museo Sans 300" w:hAnsi="Museo Sans 300" w:cs="Arial"/>
          <w:iCs/>
          <w:sz w:val="22"/>
          <w:szCs w:val="22"/>
          <w:lang w:val="es-MX"/>
        </w:rPr>
        <w:t xml:space="preserve"> </w:t>
      </w:r>
      <w:r w:rsidRPr="002B76EB">
        <w:rPr>
          <w:rFonts w:ascii="Museo Sans 300" w:hAnsi="Museo Sans 300" w:cs="Arial"/>
          <w:iCs/>
          <w:sz w:val="22"/>
          <w:szCs w:val="22"/>
          <w:lang w:val="es-MX"/>
        </w:rPr>
        <w:t>Los gastos totales representaron en términos del PIB 2022, un 13.3%, disminuyendo en 0.5 puntos porcentuales con respecto a 2021.</w:t>
      </w:r>
    </w:p>
    <w:p w14:paraId="65EF0654" w14:textId="77777777" w:rsidR="00E171F3" w:rsidRDefault="00E171F3" w:rsidP="009D513A">
      <w:pPr>
        <w:ind w:right="-32"/>
        <w:jc w:val="both"/>
        <w:rPr>
          <w:rFonts w:ascii="Museo Sans 300" w:hAnsi="Museo Sans 300" w:cs="Arial"/>
          <w:iCs/>
          <w:sz w:val="22"/>
          <w:szCs w:val="22"/>
          <w:lang w:val="es-MX"/>
        </w:rPr>
      </w:pPr>
    </w:p>
    <w:p w14:paraId="1DD2B788" w14:textId="77777777" w:rsidR="00A25034" w:rsidRDefault="00BE54F5" w:rsidP="00A25034">
      <w:pPr>
        <w:jc w:val="center"/>
        <w:rPr>
          <w:rFonts w:ascii="Museo Sans 300" w:hAnsi="Museo Sans 300"/>
          <w:sz w:val="22"/>
          <w:szCs w:val="22"/>
          <w:lang w:val="es-MX"/>
        </w:rPr>
      </w:pPr>
      <w:r w:rsidRPr="00CD1FD1">
        <w:rPr>
          <w:rFonts w:ascii="Museo Sans 300" w:hAnsi="Museo Sans 300"/>
          <w:sz w:val="22"/>
          <w:szCs w:val="22"/>
          <w:lang w:val="es-MX"/>
        </w:rPr>
        <w:t xml:space="preserve">Gráfico </w:t>
      </w:r>
      <w:r w:rsidR="008C628A">
        <w:rPr>
          <w:rFonts w:ascii="Museo Sans 300" w:hAnsi="Museo Sans 300"/>
          <w:sz w:val="22"/>
          <w:szCs w:val="22"/>
          <w:lang w:val="es-MX"/>
        </w:rPr>
        <w:t>4</w:t>
      </w:r>
      <w:r w:rsidR="00A25034" w:rsidRPr="00CD1FD1">
        <w:rPr>
          <w:rFonts w:ascii="Museo Sans 300" w:hAnsi="Museo Sans 300"/>
          <w:sz w:val="22"/>
          <w:szCs w:val="22"/>
          <w:lang w:val="es-MX"/>
        </w:rPr>
        <w:t xml:space="preserve">: Evolución del </w:t>
      </w:r>
      <w:r w:rsidR="00167CCD" w:rsidRPr="00CD1FD1">
        <w:rPr>
          <w:rFonts w:ascii="Museo Sans 300" w:hAnsi="Museo Sans 300"/>
          <w:sz w:val="22"/>
          <w:szCs w:val="22"/>
          <w:lang w:val="es-MX"/>
        </w:rPr>
        <w:t>G</w:t>
      </w:r>
      <w:r w:rsidR="00A25034" w:rsidRPr="00CD1FD1">
        <w:rPr>
          <w:rFonts w:ascii="Museo Sans 300" w:hAnsi="Museo Sans 300"/>
          <w:sz w:val="22"/>
          <w:szCs w:val="22"/>
          <w:lang w:val="es-MX"/>
        </w:rPr>
        <w:t xml:space="preserve">asto </w:t>
      </w:r>
      <w:r w:rsidR="00167CCD" w:rsidRPr="00CD1FD1">
        <w:rPr>
          <w:rFonts w:ascii="Museo Sans 300" w:hAnsi="Museo Sans 300"/>
          <w:sz w:val="22"/>
          <w:szCs w:val="22"/>
          <w:lang w:val="es-MX"/>
        </w:rPr>
        <w:t>P</w:t>
      </w:r>
      <w:r w:rsidR="00A25034" w:rsidRPr="00CD1FD1">
        <w:rPr>
          <w:rFonts w:ascii="Museo Sans 300" w:hAnsi="Museo Sans 300"/>
          <w:sz w:val="22"/>
          <w:szCs w:val="22"/>
          <w:lang w:val="es-MX"/>
        </w:rPr>
        <w:t xml:space="preserve">úblico </w:t>
      </w:r>
      <w:r w:rsidR="00167CCD" w:rsidRPr="00CD1FD1">
        <w:rPr>
          <w:rFonts w:ascii="Museo Sans 300" w:hAnsi="Museo Sans 300"/>
          <w:sz w:val="22"/>
          <w:szCs w:val="22"/>
          <w:lang w:val="es-MX"/>
        </w:rPr>
        <w:t>T</w:t>
      </w:r>
      <w:r w:rsidR="00A25034" w:rsidRPr="00CD1FD1">
        <w:rPr>
          <w:rFonts w:ascii="Museo Sans 300" w:hAnsi="Museo Sans 300"/>
          <w:sz w:val="22"/>
          <w:szCs w:val="22"/>
          <w:lang w:val="es-MX"/>
        </w:rPr>
        <w:t xml:space="preserve">otal del SPNF a </w:t>
      </w:r>
      <w:r w:rsidR="00C722FC">
        <w:rPr>
          <w:rFonts w:ascii="Museo Sans 300" w:hAnsi="Museo Sans 300"/>
          <w:sz w:val="22"/>
          <w:szCs w:val="22"/>
          <w:lang w:val="es-MX"/>
        </w:rPr>
        <w:t>junio</w:t>
      </w:r>
      <w:r w:rsidR="00A25034" w:rsidRPr="00CD1FD1">
        <w:rPr>
          <w:rFonts w:ascii="Museo Sans 300" w:hAnsi="Museo Sans 300"/>
          <w:sz w:val="22"/>
          <w:szCs w:val="22"/>
          <w:lang w:val="es-MX"/>
        </w:rPr>
        <w:t xml:space="preserve"> 20</w:t>
      </w:r>
      <w:r w:rsidR="00714B06" w:rsidRPr="00CD1FD1">
        <w:rPr>
          <w:rFonts w:ascii="Museo Sans 300" w:hAnsi="Museo Sans 300"/>
          <w:sz w:val="22"/>
          <w:szCs w:val="22"/>
          <w:lang w:val="es-MX"/>
        </w:rPr>
        <w:t>14</w:t>
      </w:r>
      <w:r w:rsidR="00A25034" w:rsidRPr="00CD1FD1">
        <w:rPr>
          <w:rFonts w:ascii="Museo Sans 300" w:hAnsi="Museo Sans 300"/>
          <w:sz w:val="22"/>
          <w:szCs w:val="22"/>
          <w:lang w:val="es-MX"/>
        </w:rPr>
        <w:t>-20</w:t>
      </w:r>
      <w:r w:rsidR="00714B06" w:rsidRPr="00CD1FD1">
        <w:rPr>
          <w:rFonts w:ascii="Museo Sans 300" w:hAnsi="Museo Sans 300"/>
          <w:sz w:val="22"/>
          <w:szCs w:val="22"/>
          <w:lang w:val="es-MX"/>
        </w:rPr>
        <w:t>2</w:t>
      </w:r>
      <w:r w:rsidR="00E41D5E" w:rsidRPr="00CD1FD1">
        <w:rPr>
          <w:rFonts w:ascii="Museo Sans 300" w:hAnsi="Museo Sans 300"/>
          <w:sz w:val="22"/>
          <w:szCs w:val="22"/>
          <w:lang w:val="es-MX"/>
        </w:rPr>
        <w:t>2</w:t>
      </w:r>
    </w:p>
    <w:p w14:paraId="37D7AF47" w14:textId="77777777" w:rsidR="00BB3C83" w:rsidRPr="00CD1FD1" w:rsidRDefault="00BB3C83" w:rsidP="00A25034">
      <w:pPr>
        <w:jc w:val="center"/>
        <w:rPr>
          <w:rFonts w:ascii="Museo Sans 300" w:hAnsi="Museo Sans 300"/>
          <w:sz w:val="22"/>
          <w:szCs w:val="22"/>
          <w:lang w:val="es-MX"/>
        </w:rPr>
      </w:pPr>
    </w:p>
    <w:p w14:paraId="686C0C95" w14:textId="77777777" w:rsidR="001E1C63" w:rsidRPr="00CD1FD1" w:rsidRDefault="00AB023C" w:rsidP="00A25034">
      <w:pPr>
        <w:jc w:val="center"/>
        <w:rPr>
          <w:rFonts w:ascii="Museo Sans 300" w:hAnsi="Museo Sans 300"/>
          <w:sz w:val="22"/>
          <w:szCs w:val="22"/>
          <w:lang w:val="es-MX"/>
        </w:rPr>
      </w:pPr>
      <w:r w:rsidRPr="00AB023C">
        <w:rPr>
          <w:noProof/>
        </w:rPr>
        <w:drawing>
          <wp:inline distT="0" distB="0" distL="0" distR="0" wp14:anchorId="3E7E97B1" wp14:editId="198E3A2B">
            <wp:extent cx="4539047" cy="27309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3224" cy="2739430"/>
                    </a:xfrm>
                    <a:prstGeom prst="rect">
                      <a:avLst/>
                    </a:prstGeom>
                    <a:noFill/>
                    <a:ln>
                      <a:noFill/>
                    </a:ln>
                  </pic:spPr>
                </pic:pic>
              </a:graphicData>
            </a:graphic>
          </wp:inline>
        </w:drawing>
      </w:r>
    </w:p>
    <w:p w14:paraId="142BAF83" w14:textId="77777777" w:rsidR="00A25034" w:rsidRPr="00ED3D89" w:rsidRDefault="00BC718B" w:rsidP="00F14F4B">
      <w:pPr>
        <w:jc w:val="center"/>
        <w:rPr>
          <w:rFonts w:ascii="Museo Sans 300" w:hAnsi="Museo Sans 300"/>
          <w:b/>
          <w:sz w:val="18"/>
          <w:szCs w:val="18"/>
          <w:lang w:val="es-MX"/>
        </w:rPr>
      </w:pPr>
      <w:r w:rsidRPr="00ED3D89">
        <w:rPr>
          <w:rFonts w:ascii="Museo Sans 300" w:hAnsi="Museo Sans 300"/>
          <w:b/>
          <w:sz w:val="18"/>
          <w:szCs w:val="18"/>
          <w:lang w:val="es-MX"/>
        </w:rPr>
        <w:t>Fuente</w:t>
      </w:r>
      <w:r w:rsidR="00ED3D89" w:rsidRPr="00ED3D89">
        <w:rPr>
          <w:rFonts w:ascii="Museo Sans 300" w:hAnsi="Museo Sans 300"/>
          <w:b/>
          <w:sz w:val="18"/>
          <w:szCs w:val="18"/>
          <w:lang w:val="es-MX"/>
        </w:rPr>
        <w:t>: Ministerio de Hacienda</w:t>
      </w:r>
    </w:p>
    <w:p w14:paraId="6AF8DFF9" w14:textId="77777777" w:rsidR="00BE54F5" w:rsidRPr="00CD1FD1" w:rsidRDefault="00442DE5" w:rsidP="008733DC">
      <w:pPr>
        <w:pStyle w:val="Ttulo2"/>
        <w:rPr>
          <w:rFonts w:ascii="Museo Sans 300" w:hAnsi="Museo Sans 300"/>
          <w:sz w:val="22"/>
          <w:szCs w:val="22"/>
          <w:lang w:val="es-MX"/>
        </w:rPr>
      </w:pPr>
      <w:bookmarkStart w:id="42" w:name="_Toc411843465"/>
      <w:r w:rsidRPr="00CD1FD1">
        <w:rPr>
          <w:rFonts w:ascii="Museo Sans 300" w:hAnsi="Museo Sans 300"/>
          <w:sz w:val="22"/>
          <w:szCs w:val="22"/>
          <w:lang w:val="es-MX"/>
        </w:rPr>
        <w:t xml:space="preserve"> </w:t>
      </w:r>
      <w:bookmarkStart w:id="43" w:name="_Toc56581211"/>
      <w:bookmarkStart w:id="44" w:name="_Toc116389138"/>
      <w:r w:rsidR="00AA7D08" w:rsidRPr="00CD1FD1">
        <w:rPr>
          <w:rFonts w:ascii="Museo Sans 300" w:hAnsi="Museo Sans 300"/>
          <w:b/>
          <w:sz w:val="22"/>
          <w:szCs w:val="22"/>
          <w:lang w:val="es-MX"/>
        </w:rPr>
        <w:t>2</w:t>
      </w:r>
      <w:r w:rsidR="009B117C" w:rsidRPr="00CD1FD1">
        <w:rPr>
          <w:rFonts w:ascii="Museo Sans 300" w:hAnsi="Museo Sans 300"/>
          <w:b/>
          <w:sz w:val="22"/>
          <w:szCs w:val="22"/>
          <w:lang w:val="es-MX"/>
        </w:rPr>
        <w:t xml:space="preserve">.1 </w:t>
      </w:r>
      <w:r w:rsidR="00BE54F5" w:rsidRPr="00CD1FD1">
        <w:rPr>
          <w:rFonts w:ascii="Museo Sans 300" w:hAnsi="Museo Sans 300"/>
          <w:b/>
          <w:sz w:val="22"/>
          <w:szCs w:val="22"/>
          <w:lang w:val="es-MX"/>
        </w:rPr>
        <w:t>Gastos corrientes</w:t>
      </w:r>
      <w:bookmarkEnd w:id="42"/>
      <w:bookmarkEnd w:id="43"/>
      <w:bookmarkEnd w:id="44"/>
    </w:p>
    <w:p w14:paraId="68B533D0" w14:textId="77777777" w:rsidR="00BB5C3E" w:rsidRPr="00CD1FD1" w:rsidRDefault="00BB5C3E" w:rsidP="00BE54F5">
      <w:pPr>
        <w:jc w:val="both"/>
        <w:rPr>
          <w:rFonts w:ascii="Museo Sans 300" w:hAnsi="Museo Sans 300"/>
          <w:sz w:val="22"/>
          <w:szCs w:val="22"/>
          <w:lang w:val="es-MX"/>
        </w:rPr>
      </w:pPr>
    </w:p>
    <w:p w14:paraId="0A91A32F" w14:textId="77777777" w:rsidR="002B76EB" w:rsidRPr="002B76EB" w:rsidRDefault="002B76EB" w:rsidP="002B76EB">
      <w:pPr>
        <w:pStyle w:val="Textoindependiente2"/>
        <w:spacing w:after="0" w:line="240" w:lineRule="auto"/>
        <w:ind w:right="-32"/>
        <w:jc w:val="both"/>
        <w:rPr>
          <w:rFonts w:ascii="Museo Sans 300" w:hAnsi="Museo Sans 300" w:cs="Arial"/>
          <w:iCs/>
          <w:sz w:val="22"/>
          <w:szCs w:val="22"/>
          <w:lang w:val="es-MX"/>
        </w:rPr>
      </w:pPr>
      <w:r w:rsidRPr="002B76EB">
        <w:rPr>
          <w:rFonts w:ascii="Museo Sans 300" w:hAnsi="Museo Sans 300" w:cs="Arial"/>
          <w:iCs/>
          <w:sz w:val="22"/>
          <w:szCs w:val="22"/>
          <w:lang w:val="es-MX"/>
        </w:rPr>
        <w:t xml:space="preserve">Los gastos corrientes del SPNF registraron un monto de $3,741.8 millones, mostrando un incremento de 4.8%, resultado de aumentos en todos sus componentes. Como porcentaje del PIB el gasto corriente representa un 12.0%, mostrando una reducción en 0.4 puntos porcentuales con respecto al año 2021. </w:t>
      </w:r>
    </w:p>
    <w:p w14:paraId="102DF5C7" w14:textId="77777777" w:rsidR="002B76EB" w:rsidRPr="002B76EB" w:rsidRDefault="002B76EB" w:rsidP="002B76EB">
      <w:pPr>
        <w:pStyle w:val="Textoindependiente2"/>
        <w:spacing w:after="0" w:line="240" w:lineRule="auto"/>
        <w:ind w:right="-32"/>
        <w:jc w:val="both"/>
        <w:rPr>
          <w:rFonts w:ascii="Museo Sans 300" w:hAnsi="Museo Sans 300" w:cs="Arial"/>
          <w:iCs/>
          <w:sz w:val="22"/>
          <w:szCs w:val="22"/>
          <w:lang w:val="es-MX"/>
        </w:rPr>
      </w:pPr>
    </w:p>
    <w:p w14:paraId="4E3A9382" w14:textId="77777777" w:rsidR="002F0601" w:rsidRPr="002F0601" w:rsidRDefault="002B76EB" w:rsidP="002F0601">
      <w:pPr>
        <w:jc w:val="both"/>
        <w:rPr>
          <w:rFonts w:ascii="Museo Sans 300" w:hAnsi="Museo Sans 300" w:cs="Arial"/>
          <w:iCs/>
          <w:sz w:val="22"/>
          <w:szCs w:val="22"/>
          <w:lang w:val="es-MX"/>
        </w:rPr>
      </w:pPr>
      <w:r w:rsidRPr="002B76EB">
        <w:rPr>
          <w:rFonts w:ascii="Museo Sans 300" w:hAnsi="Museo Sans 300" w:cs="Arial"/>
          <w:iCs/>
          <w:sz w:val="22"/>
          <w:szCs w:val="22"/>
          <w:lang w:val="es-MX"/>
        </w:rPr>
        <w:t xml:space="preserve">De forma detallada los gastos de consumo, ascendieron a $2,301.5 millones, con un incremento de $98.0 millones comparado al mes junio de 2021. </w:t>
      </w:r>
      <w:r w:rsidR="00C60002">
        <w:rPr>
          <w:rFonts w:ascii="Museo Sans 300" w:hAnsi="Museo Sans 300" w:cs="Arial"/>
          <w:iCs/>
          <w:sz w:val="22"/>
          <w:szCs w:val="22"/>
          <w:lang w:val="es-MX"/>
        </w:rPr>
        <w:t>E</w:t>
      </w:r>
      <w:r w:rsidRPr="002B76EB">
        <w:rPr>
          <w:rFonts w:ascii="Museo Sans 300" w:hAnsi="Museo Sans 300" w:cs="Arial"/>
          <w:iCs/>
          <w:sz w:val="22"/>
          <w:szCs w:val="22"/>
          <w:lang w:val="es-MX"/>
        </w:rPr>
        <w:t xml:space="preserve">l rubro de remuneraciones </w:t>
      </w:r>
      <w:r w:rsidRPr="002B76EB">
        <w:rPr>
          <w:rFonts w:ascii="Museo Sans 300" w:hAnsi="Museo Sans 300" w:cs="Arial"/>
          <w:iCs/>
          <w:sz w:val="22"/>
          <w:szCs w:val="22"/>
          <w:lang w:val="es-MX"/>
        </w:rPr>
        <w:lastRenderedPageBreak/>
        <w:t xml:space="preserve">muestra un aumento de $7.1 millones con respecto al año anterior. Por su parte, el Rubro de Bienes y Servicios reportó un crecimiento de $90.9 millones, distribuido </w:t>
      </w:r>
      <w:r w:rsidR="007B2A51">
        <w:rPr>
          <w:rFonts w:ascii="Museo Sans 300" w:hAnsi="Museo Sans 300" w:cs="Arial"/>
          <w:iCs/>
          <w:sz w:val="22"/>
          <w:szCs w:val="22"/>
          <w:lang w:val="es-MX"/>
        </w:rPr>
        <w:t xml:space="preserve">básicamente </w:t>
      </w:r>
      <w:r w:rsidRPr="002B76EB">
        <w:rPr>
          <w:rFonts w:ascii="Museo Sans 300" w:hAnsi="Museo Sans 300" w:cs="Arial"/>
          <w:iCs/>
          <w:sz w:val="22"/>
          <w:szCs w:val="22"/>
          <w:lang w:val="es-MX"/>
        </w:rPr>
        <w:t>en el Gobierno Central Consolidado con un incremento de $83.9 millones</w:t>
      </w:r>
      <w:r w:rsidR="000B601E">
        <w:rPr>
          <w:rFonts w:ascii="Museo Sans 300" w:hAnsi="Museo Sans 300" w:cs="Arial"/>
          <w:iCs/>
          <w:sz w:val="22"/>
          <w:szCs w:val="22"/>
          <w:lang w:val="es-MX"/>
        </w:rPr>
        <w:t>,</w:t>
      </w:r>
      <w:r w:rsidR="00712171">
        <w:rPr>
          <w:rFonts w:ascii="Museo Sans 300" w:hAnsi="Museo Sans 300" w:cs="Arial"/>
          <w:iCs/>
          <w:sz w:val="22"/>
          <w:szCs w:val="22"/>
          <w:lang w:val="es-MX"/>
        </w:rPr>
        <w:t xml:space="preserve"> </w:t>
      </w:r>
      <w:r w:rsidR="000B601E" w:rsidRPr="002F0601">
        <w:rPr>
          <w:rFonts w:ascii="Museo Sans 300" w:hAnsi="Museo Sans 300" w:cs="Arial"/>
          <w:iCs/>
          <w:sz w:val="22"/>
          <w:szCs w:val="22"/>
          <w:lang w:val="es-MX"/>
        </w:rPr>
        <w:t>asociado</w:t>
      </w:r>
      <w:r w:rsidR="00712171" w:rsidRPr="002F0601">
        <w:rPr>
          <w:rFonts w:ascii="Museo Sans 300" w:hAnsi="Museo Sans 300" w:cs="Arial"/>
          <w:iCs/>
          <w:sz w:val="22"/>
          <w:szCs w:val="22"/>
          <w:lang w:val="es-MX"/>
        </w:rPr>
        <w:t xml:space="preserve"> principalmente a erogaciones </w:t>
      </w:r>
      <w:r w:rsidR="002F0601" w:rsidRPr="002F0601">
        <w:rPr>
          <w:rFonts w:ascii="Museo Sans 300" w:hAnsi="Museo Sans 300" w:cs="Arial"/>
          <w:iCs/>
          <w:sz w:val="22"/>
          <w:szCs w:val="22"/>
          <w:lang w:val="es-MX"/>
        </w:rPr>
        <w:t>para combatir a los grupos terroristas y brindarle herramientas jurídicas al Gabinete de Seguridad bajo el régimen de excepción, el cual ha tenido un exitoso resultado, habiendo disminuido los homicidios, protegiendo la vida, integridad y los bienes de población salvadoreña.</w:t>
      </w:r>
    </w:p>
    <w:p w14:paraId="3839AF41" w14:textId="77777777" w:rsidR="002B76EB" w:rsidRPr="002B76EB" w:rsidRDefault="002B76EB" w:rsidP="002B76EB">
      <w:pPr>
        <w:pStyle w:val="Textoindependiente2"/>
        <w:spacing w:after="0" w:line="240" w:lineRule="auto"/>
        <w:ind w:right="-32"/>
        <w:jc w:val="both"/>
        <w:rPr>
          <w:rFonts w:ascii="Museo Sans 300" w:hAnsi="Museo Sans 300" w:cs="Arial"/>
          <w:iCs/>
          <w:sz w:val="22"/>
          <w:szCs w:val="22"/>
          <w:lang w:val="es-MX"/>
        </w:rPr>
      </w:pPr>
    </w:p>
    <w:p w14:paraId="18051FF7" w14:textId="77777777" w:rsidR="002B76EB" w:rsidRPr="002B76EB" w:rsidRDefault="002B76EB" w:rsidP="002B76EB">
      <w:pPr>
        <w:pStyle w:val="Textoindependiente2"/>
        <w:spacing w:after="0" w:line="240" w:lineRule="auto"/>
        <w:ind w:right="-32"/>
        <w:jc w:val="both"/>
        <w:rPr>
          <w:rFonts w:ascii="Museo Sans 300" w:hAnsi="Museo Sans 300" w:cs="Arial"/>
          <w:iCs/>
          <w:sz w:val="22"/>
          <w:szCs w:val="22"/>
          <w:lang w:val="es-MX"/>
        </w:rPr>
      </w:pPr>
      <w:r w:rsidRPr="002B76EB">
        <w:rPr>
          <w:rFonts w:ascii="Museo Sans 300" w:hAnsi="Museo Sans 300" w:cs="Arial"/>
          <w:iCs/>
          <w:sz w:val="22"/>
          <w:szCs w:val="22"/>
          <w:lang w:val="es-MX"/>
        </w:rPr>
        <w:t>Los intereses de la deuda ascendieron a un valor de $738.0 millones, es decir un incremento de $ 70.9 millones con respecto al año anterior.</w:t>
      </w:r>
    </w:p>
    <w:p w14:paraId="17A807EC" w14:textId="77777777" w:rsidR="002B76EB" w:rsidRDefault="002B76EB" w:rsidP="002B76EB">
      <w:pPr>
        <w:pStyle w:val="NormalWeb"/>
        <w:shd w:val="clear" w:color="auto" w:fill="FFFFFF"/>
        <w:spacing w:before="0" w:beforeAutospacing="0" w:after="143" w:afterAutospacing="0"/>
        <w:jc w:val="both"/>
        <w:rPr>
          <w:rFonts w:ascii="Museo Sans 300" w:hAnsi="Museo Sans 300" w:cs="Arial"/>
          <w:i/>
          <w:iCs/>
          <w:sz w:val="22"/>
          <w:szCs w:val="22"/>
        </w:rPr>
      </w:pPr>
    </w:p>
    <w:p w14:paraId="24449D43" w14:textId="77777777" w:rsidR="002B76EB" w:rsidRPr="002B76EB" w:rsidRDefault="002B76EB" w:rsidP="002B76EB">
      <w:pPr>
        <w:pStyle w:val="NormalWeb"/>
        <w:shd w:val="clear" w:color="auto" w:fill="FFFFFF"/>
        <w:spacing w:before="0" w:beforeAutospacing="0" w:after="143" w:afterAutospacing="0"/>
        <w:jc w:val="both"/>
        <w:rPr>
          <w:rFonts w:ascii="Museo Sans 300" w:hAnsi="Museo Sans 300" w:cs="Arial"/>
          <w:iCs/>
          <w:sz w:val="22"/>
          <w:szCs w:val="22"/>
          <w:lang w:val="es-MX" w:eastAsia="es-ES"/>
        </w:rPr>
      </w:pPr>
      <w:r w:rsidRPr="002B76EB">
        <w:rPr>
          <w:rFonts w:ascii="Museo Sans 300" w:hAnsi="Museo Sans 300" w:cs="Arial"/>
          <w:iCs/>
          <w:sz w:val="22"/>
          <w:szCs w:val="22"/>
          <w:lang w:val="es-MX" w:eastAsia="es-ES"/>
        </w:rPr>
        <w:t xml:space="preserve">En cuanto a las transferencias corrientes, éstas ascendieron a $702.3 millones, incrementándose con respecto al año anterior en $2.3 millones. Entre las transferencias que destacan </w:t>
      </w:r>
      <w:r w:rsidR="00783390">
        <w:rPr>
          <w:rFonts w:ascii="Museo Sans 300" w:hAnsi="Museo Sans 300" w:cs="Arial"/>
          <w:iCs/>
          <w:sz w:val="22"/>
          <w:szCs w:val="22"/>
          <w:lang w:val="es-MX" w:eastAsia="es-ES"/>
        </w:rPr>
        <w:t>p</w:t>
      </w:r>
      <w:r w:rsidR="00FC3A33">
        <w:rPr>
          <w:rFonts w:ascii="Museo Sans 300" w:hAnsi="Museo Sans 300" w:cs="Arial"/>
          <w:iCs/>
          <w:sz w:val="22"/>
          <w:szCs w:val="22"/>
          <w:lang w:val="es-MX" w:eastAsia="es-ES"/>
        </w:rPr>
        <w:t>o</w:t>
      </w:r>
      <w:r w:rsidR="00783390">
        <w:rPr>
          <w:rFonts w:ascii="Museo Sans 300" w:hAnsi="Museo Sans 300" w:cs="Arial"/>
          <w:iCs/>
          <w:sz w:val="22"/>
          <w:szCs w:val="22"/>
          <w:lang w:val="es-MX" w:eastAsia="es-ES"/>
        </w:rPr>
        <w:t xml:space="preserve">r sus erogaciones </w:t>
      </w:r>
      <w:r w:rsidRPr="002B76EB">
        <w:rPr>
          <w:rFonts w:ascii="Museo Sans 300" w:hAnsi="Museo Sans 300" w:cs="Arial"/>
          <w:iCs/>
          <w:sz w:val="22"/>
          <w:szCs w:val="22"/>
          <w:lang w:val="es-MX" w:eastAsia="es-ES"/>
        </w:rPr>
        <w:t>podemos mencionar: el pago a Veteranos y ex combatientes $62.7 millones; subsidios $148.1 millones; transferencia al Instituto de Previsión de la Fuerza Armada (IPSFA) $41.7 millones</w:t>
      </w:r>
      <w:r w:rsidR="00FC3A33">
        <w:rPr>
          <w:rFonts w:ascii="Museo Sans 300" w:hAnsi="Museo Sans 300" w:cs="Arial"/>
          <w:iCs/>
          <w:sz w:val="22"/>
          <w:szCs w:val="22"/>
          <w:lang w:val="es-MX" w:eastAsia="es-ES"/>
        </w:rPr>
        <w:t>;</w:t>
      </w:r>
      <w:r w:rsidRPr="002B76EB">
        <w:rPr>
          <w:rFonts w:ascii="Museo Sans 300" w:hAnsi="Museo Sans 300" w:cs="Arial"/>
          <w:iCs/>
          <w:sz w:val="22"/>
          <w:szCs w:val="22"/>
          <w:lang w:val="es-MX" w:eastAsia="es-ES"/>
        </w:rPr>
        <w:t xml:space="preserve"> aporte al régimen de pensiones de INPEP e ISSS $75.8 millones</w:t>
      </w:r>
      <w:r w:rsidR="00FC3A33">
        <w:rPr>
          <w:rFonts w:ascii="Museo Sans 300" w:hAnsi="Museo Sans 300" w:cs="Arial"/>
          <w:iCs/>
          <w:sz w:val="22"/>
          <w:szCs w:val="22"/>
          <w:lang w:val="es-MX" w:eastAsia="es-ES"/>
        </w:rPr>
        <w:t>;</w:t>
      </w:r>
      <w:r w:rsidRPr="002B76EB">
        <w:rPr>
          <w:rFonts w:ascii="Museo Sans 300" w:hAnsi="Museo Sans 300" w:cs="Arial"/>
          <w:iCs/>
          <w:sz w:val="22"/>
          <w:szCs w:val="22"/>
          <w:lang w:val="es-MX" w:eastAsia="es-ES"/>
        </w:rPr>
        <w:t xml:space="preserve"> BANDESAL y FIREMPRESA </w:t>
      </w:r>
      <w:r w:rsidR="00FC3A33">
        <w:rPr>
          <w:rFonts w:ascii="Museo Sans 300" w:hAnsi="Museo Sans 300" w:cs="Arial"/>
          <w:iCs/>
          <w:sz w:val="22"/>
          <w:szCs w:val="22"/>
          <w:lang w:val="es-MX" w:eastAsia="es-ES"/>
        </w:rPr>
        <w:t xml:space="preserve">que </w:t>
      </w:r>
      <w:r w:rsidRPr="002B76EB">
        <w:rPr>
          <w:rFonts w:ascii="Museo Sans 300" w:hAnsi="Museo Sans 300" w:cs="Arial"/>
          <w:iCs/>
          <w:sz w:val="22"/>
          <w:szCs w:val="22"/>
          <w:lang w:val="es-MX" w:eastAsia="es-ES"/>
        </w:rPr>
        <w:t>suman $46.9 millones</w:t>
      </w:r>
      <w:r w:rsidR="00FC3A33">
        <w:rPr>
          <w:rFonts w:ascii="Museo Sans 300" w:hAnsi="Museo Sans 300" w:cs="Arial"/>
          <w:iCs/>
          <w:sz w:val="22"/>
          <w:szCs w:val="22"/>
          <w:lang w:val="es-MX" w:eastAsia="es-ES"/>
        </w:rPr>
        <w:t>;</w:t>
      </w:r>
      <w:r w:rsidRPr="002B76EB">
        <w:rPr>
          <w:rFonts w:ascii="Museo Sans 300" w:hAnsi="Museo Sans 300" w:cs="Arial"/>
          <w:iCs/>
          <w:sz w:val="22"/>
          <w:szCs w:val="22"/>
          <w:lang w:val="es-MX" w:eastAsia="es-ES"/>
        </w:rPr>
        <w:t xml:space="preserve"> paquetes escolares $27.9 millones</w:t>
      </w:r>
      <w:r w:rsidR="00FC3A33">
        <w:rPr>
          <w:rFonts w:ascii="Museo Sans 300" w:hAnsi="Museo Sans 300" w:cs="Arial"/>
          <w:iCs/>
          <w:sz w:val="22"/>
          <w:szCs w:val="22"/>
          <w:lang w:val="es-MX" w:eastAsia="es-ES"/>
        </w:rPr>
        <w:t>;</w:t>
      </w:r>
      <w:r w:rsidRPr="002B76EB">
        <w:rPr>
          <w:rFonts w:ascii="Museo Sans 300" w:hAnsi="Museo Sans 300" w:cs="Arial"/>
          <w:iCs/>
          <w:sz w:val="22"/>
          <w:szCs w:val="22"/>
          <w:lang w:val="es-MX" w:eastAsia="es-ES"/>
        </w:rPr>
        <w:t xml:space="preserve"> lisiados y desmovilizados $30.8 millones</w:t>
      </w:r>
      <w:r w:rsidR="00FC3A33">
        <w:rPr>
          <w:rFonts w:ascii="Museo Sans 300" w:hAnsi="Museo Sans 300" w:cs="Arial"/>
          <w:iCs/>
          <w:sz w:val="22"/>
          <w:szCs w:val="22"/>
          <w:lang w:val="es-MX" w:eastAsia="es-ES"/>
        </w:rPr>
        <w:t>;</w:t>
      </w:r>
      <w:r w:rsidRPr="002B76EB">
        <w:rPr>
          <w:rFonts w:ascii="Museo Sans 300" w:hAnsi="Museo Sans 300" w:cs="Arial"/>
          <w:iCs/>
          <w:sz w:val="22"/>
          <w:szCs w:val="22"/>
          <w:lang w:val="es-MX" w:eastAsia="es-ES"/>
        </w:rPr>
        <w:t xml:space="preserve"> pensión minina $19.5 millones, entre otras. </w:t>
      </w:r>
    </w:p>
    <w:p w14:paraId="7751D37A" w14:textId="77777777" w:rsidR="002B76EB" w:rsidRPr="002B76EB" w:rsidRDefault="002B76EB" w:rsidP="004A685A">
      <w:pPr>
        <w:jc w:val="both"/>
        <w:rPr>
          <w:rFonts w:ascii="Museo Sans 300" w:hAnsi="Museo Sans 300" w:cs="Arial"/>
          <w:iCs/>
          <w:sz w:val="22"/>
          <w:szCs w:val="22"/>
          <w:lang w:val="es-SV"/>
        </w:rPr>
      </w:pPr>
    </w:p>
    <w:p w14:paraId="192ADBBF" w14:textId="77777777" w:rsidR="007732BA" w:rsidRPr="00CD1FD1" w:rsidRDefault="001B1625" w:rsidP="00F5794C">
      <w:pPr>
        <w:jc w:val="center"/>
        <w:rPr>
          <w:rFonts w:ascii="Museo Sans 300" w:hAnsi="Museo Sans 300"/>
          <w:sz w:val="22"/>
          <w:szCs w:val="22"/>
          <w:lang w:val="es-MX"/>
        </w:rPr>
      </w:pPr>
      <w:r w:rsidRPr="00CD1FD1">
        <w:rPr>
          <w:rFonts w:ascii="Museo Sans 300" w:hAnsi="Museo Sans 300"/>
          <w:sz w:val="22"/>
          <w:szCs w:val="22"/>
          <w:lang w:val="es-MX"/>
        </w:rPr>
        <w:t xml:space="preserve">Gráfico </w:t>
      </w:r>
      <w:r w:rsidR="008C628A">
        <w:rPr>
          <w:rFonts w:ascii="Museo Sans 300" w:hAnsi="Museo Sans 300"/>
          <w:sz w:val="22"/>
          <w:szCs w:val="22"/>
          <w:lang w:val="es-MX"/>
        </w:rPr>
        <w:t>5</w:t>
      </w:r>
      <w:r w:rsidRPr="00CD1FD1">
        <w:rPr>
          <w:rFonts w:ascii="Museo Sans 300" w:hAnsi="Museo Sans 300"/>
          <w:sz w:val="22"/>
          <w:szCs w:val="22"/>
          <w:lang w:val="es-MX"/>
        </w:rPr>
        <w:t xml:space="preserve">: Composición del gasto corriente del SPNF a </w:t>
      </w:r>
      <w:r w:rsidR="00C722FC">
        <w:rPr>
          <w:rFonts w:ascii="Museo Sans 300" w:hAnsi="Museo Sans 300"/>
          <w:sz w:val="22"/>
          <w:szCs w:val="22"/>
          <w:lang w:val="es-MX"/>
        </w:rPr>
        <w:t>junio</w:t>
      </w:r>
      <w:r w:rsidRPr="00CD1FD1">
        <w:rPr>
          <w:rFonts w:ascii="Museo Sans 300" w:hAnsi="Museo Sans 300"/>
          <w:sz w:val="22"/>
          <w:szCs w:val="22"/>
          <w:lang w:val="es-MX"/>
        </w:rPr>
        <w:t xml:space="preserve"> </w:t>
      </w:r>
      <w:r w:rsidR="00F01373" w:rsidRPr="00CD1FD1">
        <w:rPr>
          <w:rFonts w:ascii="Museo Sans 300" w:hAnsi="Museo Sans 300"/>
          <w:sz w:val="22"/>
          <w:szCs w:val="22"/>
          <w:lang w:val="es-MX"/>
        </w:rPr>
        <w:t>201</w:t>
      </w:r>
      <w:r w:rsidR="00993516">
        <w:rPr>
          <w:rFonts w:ascii="Museo Sans 300" w:hAnsi="Museo Sans 300"/>
          <w:sz w:val="22"/>
          <w:szCs w:val="22"/>
          <w:lang w:val="es-MX"/>
        </w:rPr>
        <w:t>6</w:t>
      </w:r>
      <w:r w:rsidRPr="00CD1FD1">
        <w:rPr>
          <w:rFonts w:ascii="Museo Sans 300" w:hAnsi="Museo Sans 300"/>
          <w:sz w:val="22"/>
          <w:szCs w:val="22"/>
          <w:lang w:val="es-MX"/>
        </w:rPr>
        <w:t xml:space="preserve"> -20</w:t>
      </w:r>
      <w:r w:rsidR="00072BB0" w:rsidRPr="00CD1FD1">
        <w:rPr>
          <w:rFonts w:ascii="Museo Sans 300" w:hAnsi="Museo Sans 300"/>
          <w:sz w:val="22"/>
          <w:szCs w:val="22"/>
          <w:lang w:val="es-MX"/>
        </w:rPr>
        <w:t>2</w:t>
      </w:r>
      <w:r w:rsidR="00E41D5E" w:rsidRPr="00CD1FD1">
        <w:rPr>
          <w:rFonts w:ascii="Museo Sans 300" w:hAnsi="Museo Sans 300"/>
          <w:sz w:val="22"/>
          <w:szCs w:val="22"/>
          <w:lang w:val="es-MX"/>
        </w:rPr>
        <w:t>2</w:t>
      </w:r>
      <w:r w:rsidR="00142BDD" w:rsidRPr="00CD1FD1">
        <w:rPr>
          <w:rFonts w:ascii="Museo Sans 300" w:hAnsi="Museo Sans 300"/>
          <w:sz w:val="22"/>
          <w:szCs w:val="22"/>
          <w:lang w:val="es-MX"/>
        </w:rPr>
        <w:t xml:space="preserve"> </w:t>
      </w:r>
    </w:p>
    <w:p w14:paraId="1C3CDB92" w14:textId="77777777" w:rsidR="00745752" w:rsidRPr="00CD1FD1" w:rsidRDefault="00745752" w:rsidP="00F5794C">
      <w:pPr>
        <w:jc w:val="center"/>
        <w:rPr>
          <w:rFonts w:ascii="Museo Sans 300" w:hAnsi="Museo Sans 300"/>
          <w:sz w:val="22"/>
          <w:szCs w:val="22"/>
          <w:lang w:val="es-MX"/>
        </w:rPr>
      </w:pPr>
    </w:p>
    <w:p w14:paraId="65C037D2" w14:textId="77777777" w:rsidR="001B1625" w:rsidRPr="00CD1FD1" w:rsidRDefault="00A517F2" w:rsidP="007732BA">
      <w:pPr>
        <w:jc w:val="center"/>
        <w:rPr>
          <w:rFonts w:ascii="Museo Sans 300" w:hAnsi="Museo Sans 300"/>
          <w:sz w:val="22"/>
          <w:szCs w:val="22"/>
          <w:lang w:val="es-MX"/>
        </w:rPr>
      </w:pPr>
      <w:r w:rsidRPr="00A517F2">
        <w:rPr>
          <w:noProof/>
        </w:rPr>
        <w:drawing>
          <wp:inline distT="0" distB="0" distL="0" distR="0" wp14:anchorId="005A476F" wp14:editId="22732F90">
            <wp:extent cx="5055235" cy="3432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235" cy="3432175"/>
                    </a:xfrm>
                    <a:prstGeom prst="rect">
                      <a:avLst/>
                    </a:prstGeom>
                    <a:noFill/>
                    <a:ln>
                      <a:noFill/>
                    </a:ln>
                  </pic:spPr>
                </pic:pic>
              </a:graphicData>
            </a:graphic>
          </wp:inline>
        </w:drawing>
      </w:r>
    </w:p>
    <w:p w14:paraId="1A2A4D95" w14:textId="77777777" w:rsidR="0098260F" w:rsidRPr="00CD1FD1" w:rsidRDefault="002C3C06" w:rsidP="00844663">
      <w:pPr>
        <w:pStyle w:val="Textoindependiente2"/>
        <w:spacing w:after="0" w:line="240" w:lineRule="auto"/>
        <w:ind w:right="-32"/>
        <w:jc w:val="both"/>
        <w:rPr>
          <w:rFonts w:ascii="Museo Sans 300" w:hAnsi="Museo Sans 300" w:cs="Arial"/>
          <w:iCs/>
          <w:sz w:val="22"/>
          <w:szCs w:val="22"/>
          <w:lang w:val="es-SV"/>
        </w:rPr>
      </w:pPr>
      <w:r w:rsidRPr="00CD1FD1">
        <w:rPr>
          <w:rFonts w:ascii="Museo Sans 300" w:hAnsi="Museo Sans 300" w:cs="Arial"/>
          <w:iCs/>
          <w:sz w:val="22"/>
          <w:szCs w:val="22"/>
          <w:lang w:val="es-SV"/>
        </w:rPr>
        <w:t>En la siguiente gr</w:t>
      </w:r>
      <w:r w:rsidR="00D61A43">
        <w:rPr>
          <w:rFonts w:ascii="Museo Sans 300" w:hAnsi="Museo Sans 300" w:cs="Arial"/>
          <w:iCs/>
          <w:sz w:val="22"/>
          <w:szCs w:val="22"/>
          <w:lang w:val="es-SV"/>
        </w:rPr>
        <w:t>á</w:t>
      </w:r>
      <w:r w:rsidRPr="00CD1FD1">
        <w:rPr>
          <w:rFonts w:ascii="Museo Sans 300" w:hAnsi="Museo Sans 300" w:cs="Arial"/>
          <w:iCs/>
          <w:sz w:val="22"/>
          <w:szCs w:val="22"/>
          <w:lang w:val="es-SV"/>
        </w:rPr>
        <w:t>fica se</w:t>
      </w:r>
      <w:r w:rsidR="009D780D" w:rsidRPr="00CD1FD1">
        <w:rPr>
          <w:rFonts w:ascii="Museo Sans 300" w:hAnsi="Museo Sans 300" w:cs="Arial"/>
          <w:iCs/>
          <w:sz w:val="22"/>
          <w:szCs w:val="22"/>
          <w:lang w:val="es-SV"/>
        </w:rPr>
        <w:t xml:space="preserve"> </w:t>
      </w:r>
      <w:r w:rsidRPr="00CD1FD1">
        <w:rPr>
          <w:rFonts w:ascii="Museo Sans 300" w:hAnsi="Museo Sans 300" w:cs="Arial"/>
          <w:iCs/>
          <w:sz w:val="22"/>
          <w:szCs w:val="22"/>
          <w:lang w:val="es-SV"/>
        </w:rPr>
        <w:t>present</w:t>
      </w:r>
      <w:r w:rsidR="009D780D" w:rsidRPr="00CD1FD1">
        <w:rPr>
          <w:rFonts w:ascii="Museo Sans 300" w:hAnsi="Museo Sans 300" w:cs="Arial"/>
          <w:iCs/>
          <w:sz w:val="22"/>
          <w:szCs w:val="22"/>
          <w:lang w:val="es-SV"/>
        </w:rPr>
        <w:t>a</w:t>
      </w:r>
      <w:r w:rsidRPr="00CD1FD1">
        <w:rPr>
          <w:rFonts w:ascii="Museo Sans 300" w:hAnsi="Museo Sans 300" w:cs="Arial"/>
          <w:iCs/>
          <w:sz w:val="22"/>
          <w:szCs w:val="22"/>
          <w:lang w:val="es-SV"/>
        </w:rPr>
        <w:t xml:space="preserve"> la evolución de los subsidios </w:t>
      </w:r>
      <w:r w:rsidR="007E397A" w:rsidRPr="00CD1FD1">
        <w:rPr>
          <w:rFonts w:ascii="Museo Sans 300" w:hAnsi="Museo Sans 300" w:cs="Arial"/>
          <w:iCs/>
          <w:sz w:val="22"/>
          <w:szCs w:val="22"/>
          <w:lang w:val="es-SV"/>
        </w:rPr>
        <w:t xml:space="preserve">durante el período </w:t>
      </w:r>
      <w:r w:rsidR="00036F93">
        <w:rPr>
          <w:rFonts w:ascii="Museo Sans 300" w:hAnsi="Museo Sans 300" w:cs="Arial"/>
          <w:iCs/>
          <w:sz w:val="22"/>
          <w:szCs w:val="22"/>
          <w:lang w:val="es-SV"/>
        </w:rPr>
        <w:t>a</w:t>
      </w:r>
      <w:r w:rsidR="00774C28" w:rsidRPr="00CD1FD1">
        <w:rPr>
          <w:rFonts w:ascii="Museo Sans 300" w:hAnsi="Museo Sans 300" w:cs="Arial"/>
          <w:iCs/>
          <w:sz w:val="22"/>
          <w:szCs w:val="22"/>
          <w:lang w:val="es-SV"/>
        </w:rPr>
        <w:t xml:space="preserve"> </w:t>
      </w:r>
      <w:r w:rsidR="00C722FC">
        <w:rPr>
          <w:rFonts w:ascii="Museo Sans 300" w:hAnsi="Museo Sans 300" w:cs="Arial"/>
          <w:iCs/>
          <w:sz w:val="22"/>
          <w:szCs w:val="22"/>
          <w:lang w:val="es-SV"/>
        </w:rPr>
        <w:t>junio</w:t>
      </w:r>
      <w:r w:rsidR="00774C28" w:rsidRPr="00CD1FD1">
        <w:rPr>
          <w:rFonts w:ascii="Museo Sans 300" w:hAnsi="Museo Sans 300" w:cs="Arial"/>
          <w:iCs/>
          <w:sz w:val="22"/>
          <w:szCs w:val="22"/>
          <w:lang w:val="es-SV"/>
        </w:rPr>
        <w:t xml:space="preserve"> </w:t>
      </w:r>
      <w:r w:rsidR="007E397A" w:rsidRPr="00CD1FD1">
        <w:rPr>
          <w:rFonts w:ascii="Museo Sans 300" w:hAnsi="Museo Sans 300" w:cs="Arial"/>
          <w:iCs/>
          <w:sz w:val="22"/>
          <w:szCs w:val="22"/>
          <w:lang w:val="es-SV"/>
        </w:rPr>
        <w:t>2014-</w:t>
      </w:r>
      <w:r w:rsidR="00844663">
        <w:rPr>
          <w:rFonts w:ascii="Museo Sans 300" w:hAnsi="Museo Sans 300" w:cs="Arial"/>
          <w:iCs/>
          <w:sz w:val="22"/>
          <w:szCs w:val="22"/>
          <w:lang w:val="es-SV"/>
        </w:rPr>
        <w:t>2</w:t>
      </w:r>
      <w:r w:rsidR="007E397A" w:rsidRPr="00CD1FD1">
        <w:rPr>
          <w:rFonts w:ascii="Museo Sans 300" w:hAnsi="Museo Sans 300" w:cs="Arial"/>
          <w:iCs/>
          <w:sz w:val="22"/>
          <w:szCs w:val="22"/>
          <w:lang w:val="es-SV"/>
        </w:rPr>
        <w:t>02</w:t>
      </w:r>
      <w:r w:rsidR="00BD5595" w:rsidRPr="00CD1FD1">
        <w:rPr>
          <w:rFonts w:ascii="Museo Sans 300" w:hAnsi="Museo Sans 300" w:cs="Arial"/>
          <w:iCs/>
          <w:sz w:val="22"/>
          <w:szCs w:val="22"/>
          <w:lang w:val="es-SV"/>
        </w:rPr>
        <w:t>2</w:t>
      </w:r>
      <w:r w:rsidRPr="00CD1FD1">
        <w:rPr>
          <w:rFonts w:ascii="Museo Sans 300" w:hAnsi="Museo Sans 300" w:cs="Arial"/>
          <w:iCs/>
          <w:sz w:val="22"/>
          <w:szCs w:val="22"/>
          <w:lang w:val="es-SV"/>
        </w:rPr>
        <w:t xml:space="preserve">, </w:t>
      </w:r>
      <w:r w:rsidR="00386BC0" w:rsidRPr="00CD1FD1">
        <w:rPr>
          <w:rFonts w:ascii="Museo Sans 300" w:hAnsi="Museo Sans 300" w:cs="Arial"/>
          <w:iCs/>
          <w:sz w:val="22"/>
          <w:szCs w:val="22"/>
          <w:lang w:val="es-SV"/>
        </w:rPr>
        <w:t>en donde se observa</w:t>
      </w:r>
      <w:r w:rsidRPr="00CD1FD1">
        <w:rPr>
          <w:rFonts w:ascii="Museo Sans 300" w:hAnsi="Museo Sans 300" w:cs="Arial"/>
          <w:iCs/>
          <w:sz w:val="22"/>
          <w:szCs w:val="22"/>
          <w:lang w:val="es-SV"/>
        </w:rPr>
        <w:t xml:space="preserve"> una tendencia decreciente</w:t>
      </w:r>
      <w:r w:rsidR="009D780D" w:rsidRPr="00CD1FD1">
        <w:rPr>
          <w:rFonts w:ascii="Museo Sans 300" w:hAnsi="Museo Sans 300" w:cs="Arial"/>
          <w:iCs/>
          <w:sz w:val="22"/>
          <w:szCs w:val="22"/>
          <w:lang w:val="es-SV"/>
        </w:rPr>
        <w:t xml:space="preserve"> al pasar de </w:t>
      </w:r>
      <w:r w:rsidR="00F00D19" w:rsidRPr="00CD1FD1">
        <w:rPr>
          <w:rFonts w:ascii="Museo Sans 300" w:hAnsi="Museo Sans 300" w:cs="Arial"/>
          <w:iCs/>
          <w:sz w:val="22"/>
          <w:szCs w:val="22"/>
          <w:lang w:val="es-SV"/>
        </w:rPr>
        <w:t>0</w:t>
      </w:r>
      <w:r w:rsidR="00FC2421" w:rsidRPr="00CD1FD1">
        <w:rPr>
          <w:rFonts w:ascii="Museo Sans 300" w:hAnsi="Museo Sans 300" w:cs="Arial"/>
          <w:iCs/>
          <w:sz w:val="22"/>
          <w:szCs w:val="22"/>
          <w:lang w:val="es-SV"/>
        </w:rPr>
        <w:t>.</w:t>
      </w:r>
      <w:r w:rsidR="002B76EB">
        <w:rPr>
          <w:rFonts w:ascii="Museo Sans 300" w:hAnsi="Museo Sans 300" w:cs="Arial"/>
          <w:iCs/>
          <w:sz w:val="22"/>
          <w:szCs w:val="22"/>
          <w:lang w:val="es-SV"/>
        </w:rPr>
        <w:t>7</w:t>
      </w:r>
      <w:r w:rsidR="009D780D" w:rsidRPr="00CD1FD1">
        <w:rPr>
          <w:rFonts w:ascii="Museo Sans 300" w:hAnsi="Museo Sans 300" w:cs="Arial"/>
          <w:iCs/>
          <w:sz w:val="22"/>
          <w:szCs w:val="22"/>
          <w:lang w:val="es-SV"/>
        </w:rPr>
        <w:t xml:space="preserve">% </w:t>
      </w:r>
      <w:r w:rsidR="005C4917" w:rsidRPr="00CD1FD1">
        <w:rPr>
          <w:rFonts w:ascii="Museo Sans 300" w:hAnsi="Museo Sans 300" w:cs="Arial"/>
          <w:iCs/>
          <w:sz w:val="22"/>
          <w:szCs w:val="22"/>
          <w:lang w:val="es-SV"/>
        </w:rPr>
        <w:t xml:space="preserve">con respecto </w:t>
      </w:r>
      <w:r w:rsidR="009D780D" w:rsidRPr="00CD1FD1">
        <w:rPr>
          <w:rFonts w:ascii="Museo Sans 300" w:hAnsi="Museo Sans 300" w:cs="Arial"/>
          <w:iCs/>
          <w:sz w:val="22"/>
          <w:szCs w:val="22"/>
          <w:lang w:val="es-SV"/>
        </w:rPr>
        <w:t xml:space="preserve">del PIB </w:t>
      </w:r>
      <w:r w:rsidR="00151722" w:rsidRPr="00CD1FD1">
        <w:rPr>
          <w:rFonts w:ascii="Museo Sans 300" w:hAnsi="Museo Sans 300" w:cs="Arial"/>
          <w:iCs/>
          <w:sz w:val="22"/>
          <w:szCs w:val="22"/>
          <w:lang w:val="es-SV"/>
        </w:rPr>
        <w:t xml:space="preserve">en 2014 </w:t>
      </w:r>
      <w:r w:rsidR="009D780D" w:rsidRPr="00CD1FD1">
        <w:rPr>
          <w:rFonts w:ascii="Museo Sans 300" w:hAnsi="Museo Sans 300" w:cs="Arial"/>
          <w:iCs/>
          <w:sz w:val="22"/>
          <w:szCs w:val="22"/>
          <w:lang w:val="es-SV"/>
        </w:rPr>
        <w:t>a 0.</w:t>
      </w:r>
      <w:r w:rsidR="002B76EB">
        <w:rPr>
          <w:rFonts w:ascii="Museo Sans 300" w:hAnsi="Museo Sans 300" w:cs="Arial"/>
          <w:iCs/>
          <w:sz w:val="22"/>
          <w:szCs w:val="22"/>
          <w:lang w:val="es-SV"/>
        </w:rPr>
        <w:t>5</w:t>
      </w:r>
      <w:r w:rsidR="009D780D" w:rsidRPr="00CD1FD1">
        <w:rPr>
          <w:rFonts w:ascii="Museo Sans 300" w:hAnsi="Museo Sans 300" w:cs="Arial"/>
          <w:iCs/>
          <w:sz w:val="22"/>
          <w:szCs w:val="22"/>
          <w:lang w:val="es-SV"/>
        </w:rPr>
        <w:t xml:space="preserve">% </w:t>
      </w:r>
      <w:r w:rsidR="00355D4B" w:rsidRPr="00CD1FD1">
        <w:rPr>
          <w:rFonts w:ascii="Museo Sans 300" w:hAnsi="Museo Sans 300" w:cs="Arial"/>
          <w:iCs/>
          <w:sz w:val="22"/>
          <w:szCs w:val="22"/>
          <w:lang w:val="es-SV"/>
        </w:rPr>
        <w:t xml:space="preserve">a </w:t>
      </w:r>
      <w:r w:rsidR="00C722FC">
        <w:rPr>
          <w:rFonts w:ascii="Museo Sans 300" w:hAnsi="Museo Sans 300" w:cs="Arial"/>
          <w:iCs/>
          <w:sz w:val="22"/>
          <w:szCs w:val="22"/>
          <w:lang w:val="es-SV"/>
        </w:rPr>
        <w:t>junio</w:t>
      </w:r>
      <w:r w:rsidR="00355D4B" w:rsidRPr="00CD1FD1">
        <w:rPr>
          <w:rFonts w:ascii="Museo Sans 300" w:hAnsi="Museo Sans 300" w:cs="Arial"/>
          <w:iCs/>
          <w:sz w:val="22"/>
          <w:szCs w:val="22"/>
          <w:lang w:val="es-SV"/>
        </w:rPr>
        <w:t xml:space="preserve"> 2022</w:t>
      </w:r>
      <w:r w:rsidR="009D780D" w:rsidRPr="00CD1FD1">
        <w:rPr>
          <w:rFonts w:ascii="Museo Sans 300" w:hAnsi="Museo Sans 300" w:cs="Arial"/>
          <w:iCs/>
          <w:sz w:val="22"/>
          <w:szCs w:val="22"/>
          <w:lang w:val="es-SV"/>
        </w:rPr>
        <w:t>.</w:t>
      </w:r>
      <w:r w:rsidR="0098260F" w:rsidRPr="00CD1FD1">
        <w:rPr>
          <w:rFonts w:ascii="Museo Sans 300" w:hAnsi="Museo Sans 300" w:cs="Arial"/>
          <w:iCs/>
          <w:sz w:val="22"/>
          <w:szCs w:val="22"/>
          <w:lang w:val="es-SV"/>
        </w:rPr>
        <w:t xml:space="preserve"> </w:t>
      </w:r>
      <w:r w:rsidR="00340B9B" w:rsidRPr="00CD1FD1">
        <w:rPr>
          <w:rFonts w:ascii="Museo Sans 300" w:hAnsi="Museo Sans 300" w:cs="Arial"/>
          <w:iCs/>
          <w:sz w:val="22"/>
          <w:szCs w:val="22"/>
          <w:lang w:val="es-SV"/>
        </w:rPr>
        <w:t xml:space="preserve">El total de </w:t>
      </w:r>
      <w:r w:rsidR="0098260F" w:rsidRPr="00CD1FD1">
        <w:rPr>
          <w:rFonts w:ascii="Museo Sans 300" w:hAnsi="Museo Sans 300" w:cs="Arial"/>
          <w:iCs/>
          <w:sz w:val="22"/>
          <w:szCs w:val="22"/>
          <w:lang w:val="es-SV"/>
        </w:rPr>
        <w:t>los subsidios ascienden a $</w:t>
      </w:r>
      <w:r w:rsidR="002B76EB">
        <w:rPr>
          <w:rFonts w:ascii="Museo Sans 300" w:hAnsi="Museo Sans 300" w:cs="Arial"/>
          <w:iCs/>
          <w:sz w:val="22"/>
          <w:szCs w:val="22"/>
          <w:lang w:val="es-SV"/>
        </w:rPr>
        <w:t>148.1</w:t>
      </w:r>
      <w:r w:rsidR="0098260F" w:rsidRPr="00CD1FD1">
        <w:rPr>
          <w:rFonts w:ascii="Museo Sans 300" w:hAnsi="Museo Sans 300" w:cs="Arial"/>
          <w:iCs/>
          <w:sz w:val="22"/>
          <w:szCs w:val="22"/>
          <w:lang w:val="es-SV"/>
        </w:rPr>
        <w:t xml:space="preserve"> millones, </w:t>
      </w:r>
      <w:r w:rsidR="00F00D19" w:rsidRPr="00CD1FD1">
        <w:rPr>
          <w:rFonts w:ascii="Museo Sans 300" w:hAnsi="Museo Sans 300" w:cs="Arial"/>
          <w:iCs/>
          <w:sz w:val="22"/>
          <w:szCs w:val="22"/>
          <w:lang w:val="es-SV"/>
        </w:rPr>
        <w:t>aumentando $</w:t>
      </w:r>
      <w:r w:rsidR="00BD5595" w:rsidRPr="00CD1FD1">
        <w:rPr>
          <w:rFonts w:ascii="Museo Sans 300" w:hAnsi="Museo Sans 300" w:cs="Arial"/>
          <w:iCs/>
          <w:sz w:val="22"/>
          <w:szCs w:val="22"/>
          <w:lang w:val="es-SV"/>
        </w:rPr>
        <w:t>34.8</w:t>
      </w:r>
      <w:r w:rsidR="0098260F" w:rsidRPr="00CD1FD1">
        <w:rPr>
          <w:rFonts w:ascii="Museo Sans 300" w:hAnsi="Museo Sans 300" w:cs="Arial"/>
          <w:iCs/>
          <w:sz w:val="22"/>
          <w:szCs w:val="22"/>
          <w:lang w:val="es-SV"/>
        </w:rPr>
        <w:t xml:space="preserve"> millones con respecto a </w:t>
      </w:r>
      <w:r w:rsidR="00581B7E" w:rsidRPr="00CD1FD1">
        <w:rPr>
          <w:rFonts w:ascii="Museo Sans 300" w:hAnsi="Museo Sans 300" w:cs="Arial"/>
          <w:iCs/>
          <w:sz w:val="22"/>
          <w:szCs w:val="22"/>
          <w:lang w:val="es-SV"/>
        </w:rPr>
        <w:t>2021</w:t>
      </w:r>
      <w:r w:rsidR="00F00D19" w:rsidRPr="00CD1FD1">
        <w:rPr>
          <w:rFonts w:ascii="Museo Sans 300" w:hAnsi="Museo Sans 300" w:cs="Arial"/>
          <w:iCs/>
          <w:sz w:val="22"/>
          <w:szCs w:val="22"/>
          <w:lang w:val="es-SV"/>
        </w:rPr>
        <w:t xml:space="preserve">. </w:t>
      </w:r>
    </w:p>
    <w:p w14:paraId="63EEFBE2" w14:textId="77777777" w:rsidR="003D01C6" w:rsidRPr="00197782" w:rsidRDefault="003D01C6" w:rsidP="00844663">
      <w:pPr>
        <w:jc w:val="both"/>
        <w:rPr>
          <w:rFonts w:ascii="Museo Sans 300" w:hAnsi="Museo Sans 300"/>
          <w:sz w:val="16"/>
          <w:szCs w:val="16"/>
          <w:lang w:val="es-MX"/>
        </w:rPr>
      </w:pPr>
    </w:p>
    <w:p w14:paraId="6241F420" w14:textId="77777777" w:rsidR="00724FE8" w:rsidRDefault="00724FE8" w:rsidP="00386BC0">
      <w:pPr>
        <w:jc w:val="center"/>
        <w:rPr>
          <w:rFonts w:ascii="Museo Sans 300" w:hAnsi="Museo Sans 300"/>
          <w:sz w:val="22"/>
          <w:szCs w:val="22"/>
          <w:lang w:val="es-MX"/>
        </w:rPr>
      </w:pPr>
    </w:p>
    <w:p w14:paraId="173F6677" w14:textId="77777777" w:rsidR="00844663" w:rsidRDefault="00844663">
      <w:pPr>
        <w:rPr>
          <w:rFonts w:ascii="Museo Sans 300" w:hAnsi="Museo Sans 300"/>
          <w:sz w:val="22"/>
          <w:szCs w:val="22"/>
          <w:lang w:val="es-MX"/>
        </w:rPr>
      </w:pPr>
      <w:r>
        <w:rPr>
          <w:rFonts w:ascii="Museo Sans 300" w:hAnsi="Museo Sans 300"/>
          <w:sz w:val="22"/>
          <w:szCs w:val="22"/>
          <w:lang w:val="es-MX"/>
        </w:rPr>
        <w:br w:type="page"/>
      </w:r>
    </w:p>
    <w:p w14:paraId="764A99DA" w14:textId="77777777" w:rsidR="00724FE8" w:rsidRDefault="00724FE8" w:rsidP="00386BC0">
      <w:pPr>
        <w:jc w:val="center"/>
        <w:rPr>
          <w:rFonts w:ascii="Museo Sans 300" w:hAnsi="Museo Sans 300"/>
          <w:sz w:val="22"/>
          <w:szCs w:val="22"/>
          <w:lang w:val="es-MX"/>
        </w:rPr>
      </w:pPr>
    </w:p>
    <w:p w14:paraId="26FD29FF" w14:textId="77777777" w:rsidR="009D780D" w:rsidRPr="00CD1FD1" w:rsidRDefault="009D780D" w:rsidP="00386BC0">
      <w:pPr>
        <w:jc w:val="center"/>
        <w:rPr>
          <w:rFonts w:ascii="Museo Sans 300" w:hAnsi="Museo Sans 300"/>
          <w:sz w:val="22"/>
          <w:szCs w:val="22"/>
          <w:highlight w:val="yellow"/>
          <w:lang w:val="es-MX"/>
        </w:rPr>
      </w:pPr>
      <w:r w:rsidRPr="00CD1FD1">
        <w:rPr>
          <w:rFonts w:ascii="Museo Sans 300" w:hAnsi="Museo Sans 300"/>
          <w:sz w:val="22"/>
          <w:szCs w:val="22"/>
          <w:lang w:val="es-MX"/>
        </w:rPr>
        <w:t xml:space="preserve">Gráfico </w:t>
      </w:r>
      <w:r w:rsidR="008C628A">
        <w:rPr>
          <w:rFonts w:ascii="Museo Sans 300" w:hAnsi="Museo Sans 300"/>
          <w:sz w:val="22"/>
          <w:szCs w:val="22"/>
          <w:lang w:val="es-MX"/>
        </w:rPr>
        <w:t>6</w:t>
      </w:r>
      <w:r w:rsidRPr="00CD1FD1">
        <w:rPr>
          <w:rFonts w:ascii="Museo Sans 300" w:hAnsi="Museo Sans 300"/>
          <w:sz w:val="22"/>
          <w:szCs w:val="22"/>
          <w:lang w:val="es-MX"/>
        </w:rPr>
        <w:t xml:space="preserve">: Subsidios a servicios básicos a </w:t>
      </w:r>
      <w:r w:rsidR="00C722FC">
        <w:rPr>
          <w:rFonts w:ascii="Museo Sans 300" w:hAnsi="Museo Sans 300"/>
          <w:sz w:val="22"/>
          <w:szCs w:val="22"/>
          <w:lang w:val="es-MX"/>
        </w:rPr>
        <w:t>junio</w:t>
      </w:r>
      <w:r w:rsidRPr="00CD1FD1">
        <w:rPr>
          <w:rFonts w:ascii="Museo Sans 300" w:hAnsi="Museo Sans 300"/>
          <w:sz w:val="22"/>
          <w:szCs w:val="22"/>
          <w:lang w:val="es-MX"/>
        </w:rPr>
        <w:t xml:space="preserve"> de 20</w:t>
      </w:r>
      <w:r w:rsidR="00151722" w:rsidRPr="00CD1FD1">
        <w:rPr>
          <w:rFonts w:ascii="Museo Sans 300" w:hAnsi="Museo Sans 300"/>
          <w:sz w:val="22"/>
          <w:szCs w:val="22"/>
          <w:lang w:val="es-MX"/>
        </w:rPr>
        <w:t>14</w:t>
      </w:r>
      <w:r w:rsidRPr="00CD1FD1">
        <w:rPr>
          <w:rFonts w:ascii="Museo Sans 300" w:hAnsi="Museo Sans 300"/>
          <w:sz w:val="22"/>
          <w:szCs w:val="22"/>
          <w:lang w:val="es-MX"/>
        </w:rPr>
        <w:t>-</w:t>
      </w:r>
      <w:r w:rsidR="00042C94" w:rsidRPr="00CD1FD1">
        <w:rPr>
          <w:rFonts w:ascii="Museo Sans 300" w:hAnsi="Museo Sans 300"/>
          <w:sz w:val="22"/>
          <w:szCs w:val="22"/>
          <w:lang w:val="es-MX"/>
        </w:rPr>
        <w:t>202</w:t>
      </w:r>
      <w:r w:rsidR="003D01C6" w:rsidRPr="00CD1FD1">
        <w:rPr>
          <w:rFonts w:ascii="Museo Sans 300" w:hAnsi="Museo Sans 300"/>
          <w:sz w:val="22"/>
          <w:szCs w:val="22"/>
          <w:lang w:val="es-MX"/>
        </w:rPr>
        <w:t>2</w:t>
      </w:r>
      <w:r w:rsidR="008668D1" w:rsidRPr="00CD1FD1">
        <w:rPr>
          <w:rFonts w:ascii="Museo Sans 300" w:hAnsi="Museo Sans 300"/>
          <w:sz w:val="22"/>
          <w:szCs w:val="22"/>
          <w:lang w:val="es-MX"/>
        </w:rPr>
        <w:t xml:space="preserve"> </w:t>
      </w:r>
    </w:p>
    <w:p w14:paraId="5940E165" w14:textId="77777777" w:rsidR="00547C08" w:rsidRPr="00197782" w:rsidRDefault="00547C08" w:rsidP="00386BC0">
      <w:pPr>
        <w:jc w:val="center"/>
        <w:rPr>
          <w:rFonts w:ascii="Museo Sans 300" w:hAnsi="Museo Sans 300"/>
          <w:sz w:val="16"/>
          <w:szCs w:val="16"/>
          <w:lang w:val="es-MX"/>
        </w:rPr>
      </w:pPr>
    </w:p>
    <w:p w14:paraId="2913BDA7" w14:textId="77777777" w:rsidR="00AF3BC8" w:rsidRPr="00191565" w:rsidRDefault="00A517F2" w:rsidP="00386BC0">
      <w:pPr>
        <w:jc w:val="center"/>
        <w:rPr>
          <w:rFonts w:ascii="Museo Sans 300" w:hAnsi="Museo Sans 300"/>
          <w:sz w:val="22"/>
          <w:szCs w:val="22"/>
          <w:lang w:val="es-MX"/>
        </w:rPr>
      </w:pPr>
      <w:r w:rsidRPr="00A517F2">
        <w:rPr>
          <w:noProof/>
        </w:rPr>
        <w:drawing>
          <wp:inline distT="0" distB="0" distL="0" distR="0" wp14:anchorId="37F470AB" wp14:editId="379331AE">
            <wp:extent cx="4986172" cy="3232597"/>
            <wp:effectExtent l="0" t="0" r="508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9085" cy="3247452"/>
                    </a:xfrm>
                    <a:prstGeom prst="rect">
                      <a:avLst/>
                    </a:prstGeom>
                    <a:noFill/>
                    <a:ln>
                      <a:noFill/>
                    </a:ln>
                  </pic:spPr>
                </pic:pic>
              </a:graphicData>
            </a:graphic>
          </wp:inline>
        </w:drawing>
      </w:r>
    </w:p>
    <w:p w14:paraId="755F80F6" w14:textId="77777777" w:rsidR="00DB11D8" w:rsidRPr="00993516" w:rsidRDefault="00197782" w:rsidP="001902A4">
      <w:pPr>
        <w:pStyle w:val="Textoindependiente2"/>
        <w:spacing w:after="0" w:line="240" w:lineRule="auto"/>
        <w:ind w:right="-32"/>
        <w:jc w:val="both"/>
        <w:rPr>
          <w:rFonts w:ascii="Museo Sans 300" w:hAnsi="Museo Sans 300" w:cs="Arial"/>
          <w:iCs/>
          <w:sz w:val="16"/>
          <w:szCs w:val="16"/>
          <w:lang w:val="es-SV"/>
        </w:rPr>
      </w:pPr>
      <w:r>
        <w:rPr>
          <w:rFonts w:ascii="Museo Sans 300" w:hAnsi="Museo Sans 300" w:cs="Arial"/>
          <w:iCs/>
          <w:sz w:val="16"/>
          <w:szCs w:val="16"/>
          <w:lang w:val="es-SV"/>
        </w:rPr>
        <w:t xml:space="preserve">              Fuente: DGT</w:t>
      </w:r>
    </w:p>
    <w:p w14:paraId="6BE360A4" w14:textId="77777777" w:rsidR="00C64A77" w:rsidRDefault="00C64A77" w:rsidP="001902A4">
      <w:pPr>
        <w:pStyle w:val="Textoindependiente2"/>
        <w:spacing w:after="0" w:line="240" w:lineRule="auto"/>
        <w:ind w:right="-32"/>
        <w:jc w:val="both"/>
        <w:rPr>
          <w:rFonts w:ascii="Museo Sans 300" w:hAnsi="Museo Sans 300" w:cs="Arial"/>
          <w:iCs/>
          <w:sz w:val="22"/>
          <w:szCs w:val="22"/>
          <w:lang w:val="es-SV"/>
        </w:rPr>
      </w:pPr>
    </w:p>
    <w:p w14:paraId="0CFF5669" w14:textId="77777777" w:rsidR="00197782" w:rsidRPr="00C64A77" w:rsidRDefault="00C64A77" w:rsidP="001902A4">
      <w:pPr>
        <w:pStyle w:val="Textoindependiente2"/>
        <w:spacing w:after="0" w:line="240" w:lineRule="auto"/>
        <w:ind w:right="-32"/>
        <w:jc w:val="both"/>
        <w:rPr>
          <w:rFonts w:ascii="Museo Sans 300" w:hAnsi="Museo Sans 300" w:cs="Arial"/>
          <w:iCs/>
          <w:sz w:val="22"/>
          <w:szCs w:val="22"/>
          <w:lang w:val="es-SV"/>
        </w:rPr>
      </w:pPr>
      <w:r w:rsidRPr="00C64A77">
        <w:rPr>
          <w:rFonts w:ascii="Museo Sans 300" w:hAnsi="Museo Sans 300" w:cs="Arial"/>
          <w:iCs/>
          <w:sz w:val="22"/>
          <w:szCs w:val="22"/>
          <w:lang w:val="es-SV"/>
        </w:rPr>
        <w:t>En el siguiente cuadro se detalla la distribución de los subsidios, así:  $96.9 millones gas licuado; energía eléctrica $32.4 millones y transporte</w:t>
      </w:r>
      <w:r w:rsidR="00771A84">
        <w:rPr>
          <w:rFonts w:ascii="Museo Sans 300" w:hAnsi="Museo Sans 300" w:cs="Arial"/>
          <w:iCs/>
          <w:sz w:val="22"/>
          <w:szCs w:val="22"/>
          <w:lang w:val="es-SV"/>
        </w:rPr>
        <w:t>,</w:t>
      </w:r>
      <w:r w:rsidRPr="00C64A77">
        <w:rPr>
          <w:rFonts w:ascii="Museo Sans 300" w:hAnsi="Museo Sans 300" w:cs="Arial"/>
          <w:iCs/>
          <w:sz w:val="22"/>
          <w:szCs w:val="22"/>
          <w:lang w:val="es-SV"/>
        </w:rPr>
        <w:t xml:space="preserve"> $18.8 millones. En lo que se refiere a las devoluciones de impuestos, éstas registran un monto de $32.4 millones, de las que $10.9 millones corresponden a Devolución de IVA y $ 21.5 devoluciones de </w:t>
      </w:r>
      <w:r w:rsidR="00036F93">
        <w:rPr>
          <w:rFonts w:ascii="Museo Sans 300" w:hAnsi="Museo Sans 300" w:cs="Arial"/>
          <w:iCs/>
          <w:sz w:val="22"/>
          <w:szCs w:val="22"/>
          <w:lang w:val="es-SV"/>
        </w:rPr>
        <w:t>impuesto sobre la R</w:t>
      </w:r>
      <w:r w:rsidRPr="00C64A77">
        <w:rPr>
          <w:rFonts w:ascii="Museo Sans 300" w:hAnsi="Museo Sans 300" w:cs="Arial"/>
          <w:iCs/>
          <w:sz w:val="22"/>
          <w:szCs w:val="22"/>
          <w:lang w:val="es-SV"/>
        </w:rPr>
        <w:t xml:space="preserve">enta. El total de devoluciones fue mayor en $5.7 millones a las registradas </w:t>
      </w:r>
      <w:r w:rsidR="00036F93">
        <w:rPr>
          <w:rFonts w:ascii="Museo Sans 300" w:hAnsi="Museo Sans 300" w:cs="Arial"/>
          <w:iCs/>
          <w:sz w:val="22"/>
          <w:szCs w:val="22"/>
          <w:lang w:val="es-SV"/>
        </w:rPr>
        <w:t xml:space="preserve">al mismo período del </w:t>
      </w:r>
      <w:r w:rsidRPr="00C64A77">
        <w:rPr>
          <w:rFonts w:ascii="Museo Sans 300" w:hAnsi="Museo Sans 300" w:cs="Arial"/>
          <w:iCs/>
          <w:sz w:val="22"/>
          <w:szCs w:val="22"/>
          <w:lang w:val="es-SV"/>
        </w:rPr>
        <w:t>año anterior.</w:t>
      </w:r>
    </w:p>
    <w:p w14:paraId="3AA2C419" w14:textId="77777777" w:rsidR="00C64A77" w:rsidRPr="00197782" w:rsidRDefault="00C64A77" w:rsidP="001902A4">
      <w:pPr>
        <w:pStyle w:val="Textoindependiente2"/>
        <w:spacing w:after="0" w:line="240" w:lineRule="auto"/>
        <w:ind w:right="-32"/>
        <w:jc w:val="both"/>
        <w:rPr>
          <w:rFonts w:ascii="Museo Sans 300" w:hAnsi="Museo Sans 300" w:cs="Arial"/>
          <w:iCs/>
          <w:sz w:val="16"/>
          <w:szCs w:val="16"/>
          <w:lang w:val="es-SV"/>
        </w:rPr>
      </w:pPr>
    </w:p>
    <w:p w14:paraId="1149D7A4" w14:textId="77777777" w:rsidR="00080BF7" w:rsidRPr="00993516" w:rsidRDefault="00080BF7" w:rsidP="001902A4">
      <w:pPr>
        <w:rPr>
          <w:rFonts w:ascii="Museo Sans 300" w:hAnsi="Museo Sans 300"/>
          <w:b/>
          <w:sz w:val="16"/>
          <w:szCs w:val="16"/>
          <w:lang w:val="es-SV"/>
        </w:rPr>
      </w:pPr>
    </w:p>
    <w:p w14:paraId="58E258E9" w14:textId="77777777" w:rsidR="00E75292" w:rsidRPr="00CD1FD1" w:rsidRDefault="007322EB" w:rsidP="00E75292">
      <w:pPr>
        <w:jc w:val="center"/>
        <w:rPr>
          <w:rFonts w:ascii="Museo Sans 300" w:hAnsi="Museo Sans 300"/>
          <w:b/>
          <w:sz w:val="22"/>
          <w:szCs w:val="22"/>
          <w:lang w:val="es-MX"/>
        </w:rPr>
      </w:pPr>
      <w:r w:rsidRPr="00CD1FD1">
        <w:rPr>
          <w:rFonts w:ascii="Museo Sans 300" w:hAnsi="Museo Sans 300"/>
          <w:b/>
          <w:sz w:val="22"/>
          <w:szCs w:val="22"/>
          <w:lang w:val="es-MX"/>
        </w:rPr>
        <w:t>T</w:t>
      </w:r>
      <w:r w:rsidR="004F29B4" w:rsidRPr="00CD1FD1">
        <w:rPr>
          <w:rFonts w:ascii="Museo Sans 300" w:hAnsi="Museo Sans 300"/>
          <w:b/>
          <w:sz w:val="22"/>
          <w:szCs w:val="22"/>
          <w:lang w:val="es-MX"/>
        </w:rPr>
        <w:t xml:space="preserve">abla No. </w:t>
      </w:r>
      <w:r w:rsidR="006B57E8" w:rsidRPr="00CD1FD1">
        <w:rPr>
          <w:rFonts w:ascii="Museo Sans 300" w:hAnsi="Museo Sans 300"/>
          <w:b/>
          <w:sz w:val="22"/>
          <w:szCs w:val="22"/>
          <w:lang w:val="es-MX"/>
        </w:rPr>
        <w:t>3</w:t>
      </w:r>
      <w:r w:rsidR="00F14F4B" w:rsidRPr="00CD1FD1">
        <w:rPr>
          <w:rFonts w:ascii="Museo Sans 300" w:hAnsi="Museo Sans 300"/>
          <w:b/>
          <w:sz w:val="22"/>
          <w:szCs w:val="22"/>
          <w:lang w:val="es-MX"/>
        </w:rPr>
        <w:t xml:space="preserve">: </w:t>
      </w:r>
      <w:r w:rsidR="00E75292" w:rsidRPr="00CD1FD1">
        <w:rPr>
          <w:rFonts w:ascii="Museo Sans 300" w:hAnsi="Museo Sans 300"/>
          <w:b/>
          <w:sz w:val="22"/>
          <w:szCs w:val="22"/>
          <w:lang w:val="es-MX"/>
        </w:rPr>
        <w:t xml:space="preserve">Subsidios y Devoluciones de </w:t>
      </w:r>
      <w:r w:rsidR="00546F81" w:rsidRPr="00CD1FD1">
        <w:rPr>
          <w:rFonts w:ascii="Museo Sans 300" w:hAnsi="Museo Sans 300"/>
          <w:b/>
          <w:sz w:val="22"/>
          <w:szCs w:val="22"/>
          <w:lang w:val="es-MX"/>
        </w:rPr>
        <w:t>Impuestos a</w:t>
      </w:r>
      <w:r w:rsidR="00E75292" w:rsidRPr="00CD1FD1">
        <w:rPr>
          <w:rFonts w:ascii="Museo Sans 300" w:hAnsi="Museo Sans 300"/>
          <w:b/>
          <w:sz w:val="22"/>
          <w:szCs w:val="22"/>
          <w:lang w:val="es-MX"/>
        </w:rPr>
        <w:t xml:space="preserve"> </w:t>
      </w:r>
      <w:r w:rsidR="00C722FC">
        <w:rPr>
          <w:rFonts w:ascii="Museo Sans 300" w:hAnsi="Museo Sans 300"/>
          <w:b/>
          <w:sz w:val="22"/>
          <w:szCs w:val="22"/>
          <w:lang w:val="es-MX"/>
        </w:rPr>
        <w:t>junio</w:t>
      </w:r>
      <w:r w:rsidR="00E75292" w:rsidRPr="00CD1FD1">
        <w:rPr>
          <w:rFonts w:ascii="Museo Sans 300" w:hAnsi="Museo Sans 300"/>
          <w:b/>
          <w:sz w:val="22"/>
          <w:szCs w:val="22"/>
          <w:lang w:val="es-MX"/>
        </w:rPr>
        <w:t xml:space="preserve"> de 20</w:t>
      </w:r>
      <w:r w:rsidR="00072BB0" w:rsidRPr="00CD1FD1">
        <w:rPr>
          <w:rFonts w:ascii="Museo Sans 300" w:hAnsi="Museo Sans 300"/>
          <w:b/>
          <w:sz w:val="22"/>
          <w:szCs w:val="22"/>
          <w:lang w:val="es-MX"/>
        </w:rPr>
        <w:t>14</w:t>
      </w:r>
      <w:r w:rsidR="00E75292" w:rsidRPr="00CD1FD1">
        <w:rPr>
          <w:rFonts w:ascii="Museo Sans 300" w:hAnsi="Museo Sans 300"/>
          <w:b/>
          <w:sz w:val="22"/>
          <w:szCs w:val="22"/>
          <w:lang w:val="es-MX"/>
        </w:rPr>
        <w:t xml:space="preserve"> -20</w:t>
      </w:r>
      <w:r w:rsidR="00072BB0" w:rsidRPr="00CD1FD1">
        <w:rPr>
          <w:rFonts w:ascii="Museo Sans 300" w:hAnsi="Museo Sans 300"/>
          <w:b/>
          <w:sz w:val="22"/>
          <w:szCs w:val="22"/>
          <w:lang w:val="es-MX"/>
        </w:rPr>
        <w:t>2</w:t>
      </w:r>
      <w:r w:rsidR="003D01C6" w:rsidRPr="00CD1FD1">
        <w:rPr>
          <w:rFonts w:ascii="Museo Sans 300" w:hAnsi="Museo Sans 300"/>
          <w:b/>
          <w:sz w:val="22"/>
          <w:szCs w:val="22"/>
          <w:lang w:val="es-MX"/>
        </w:rPr>
        <w:t>2</w:t>
      </w:r>
    </w:p>
    <w:p w14:paraId="7E79D488" w14:textId="77777777" w:rsidR="00123067" w:rsidRPr="00CD1FD1" w:rsidRDefault="00E75292" w:rsidP="00E75292">
      <w:pPr>
        <w:jc w:val="center"/>
        <w:rPr>
          <w:rFonts w:ascii="Museo Sans 300" w:hAnsi="Museo Sans 300"/>
          <w:b/>
          <w:sz w:val="22"/>
          <w:szCs w:val="22"/>
          <w:lang w:val="es-MX"/>
        </w:rPr>
      </w:pPr>
      <w:r w:rsidRPr="00CD1FD1">
        <w:rPr>
          <w:rFonts w:ascii="Museo Sans 300" w:hAnsi="Museo Sans 300"/>
          <w:b/>
          <w:sz w:val="22"/>
          <w:szCs w:val="22"/>
          <w:lang w:val="es-MX"/>
        </w:rPr>
        <w:t>Millones de $</w:t>
      </w:r>
    </w:p>
    <w:p w14:paraId="22DB6935" w14:textId="77777777" w:rsidR="00123067" w:rsidRPr="00993516" w:rsidRDefault="00123067" w:rsidP="00E75292">
      <w:pPr>
        <w:jc w:val="center"/>
        <w:rPr>
          <w:rFonts w:ascii="Museo Sans 300" w:hAnsi="Museo Sans 300"/>
          <w:b/>
          <w:sz w:val="16"/>
          <w:szCs w:val="16"/>
          <w:lang w:val="es-MX"/>
        </w:rPr>
      </w:pPr>
    </w:p>
    <w:p w14:paraId="565FDD36" w14:textId="77777777" w:rsidR="00E75292" w:rsidRDefault="009F0A52" w:rsidP="00E75292">
      <w:pPr>
        <w:jc w:val="center"/>
        <w:rPr>
          <w:rFonts w:ascii="Museo Sans 300" w:hAnsi="Museo Sans 300"/>
          <w:b/>
          <w:sz w:val="22"/>
          <w:szCs w:val="22"/>
          <w:lang w:val="es-MX"/>
        </w:rPr>
      </w:pPr>
      <w:r w:rsidRPr="009F0A52">
        <w:rPr>
          <w:noProof/>
        </w:rPr>
        <w:drawing>
          <wp:inline distT="0" distB="0" distL="0" distR="0" wp14:anchorId="24E5A6B8" wp14:editId="1939B7C3">
            <wp:extent cx="5971540" cy="202258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022588"/>
                    </a:xfrm>
                    <a:prstGeom prst="rect">
                      <a:avLst/>
                    </a:prstGeom>
                    <a:noFill/>
                    <a:ln>
                      <a:noFill/>
                    </a:ln>
                  </pic:spPr>
                </pic:pic>
              </a:graphicData>
            </a:graphic>
          </wp:inline>
        </w:drawing>
      </w:r>
    </w:p>
    <w:p w14:paraId="36B63AFB" w14:textId="77777777" w:rsidR="00BE54F5" w:rsidRPr="00CD1FD1" w:rsidRDefault="00D6012E" w:rsidP="00757972">
      <w:pPr>
        <w:rPr>
          <w:rFonts w:ascii="Museo Sans 300" w:hAnsi="Museo Sans 300"/>
          <w:b/>
          <w:sz w:val="22"/>
          <w:szCs w:val="22"/>
          <w:lang w:val="es-MX"/>
        </w:rPr>
      </w:pPr>
      <w:r w:rsidRPr="00CD1FD1">
        <w:rPr>
          <w:rFonts w:ascii="Museo Sans 300" w:hAnsi="Museo Sans 300"/>
          <w:b/>
          <w:sz w:val="22"/>
          <w:szCs w:val="22"/>
          <w:lang w:val="es-MX"/>
        </w:rPr>
        <w:br w:type="page"/>
      </w:r>
      <w:bookmarkStart w:id="45" w:name="_Toc411843466"/>
      <w:bookmarkStart w:id="46" w:name="_Toc56581212"/>
      <w:r w:rsidR="00757972">
        <w:rPr>
          <w:rFonts w:ascii="Museo Sans 300" w:hAnsi="Museo Sans 300"/>
          <w:b/>
          <w:sz w:val="22"/>
          <w:szCs w:val="22"/>
          <w:lang w:val="es-MX"/>
        </w:rPr>
        <w:lastRenderedPageBreak/>
        <w:t>2</w:t>
      </w:r>
      <w:r w:rsidR="009B117C" w:rsidRPr="00CD1FD1">
        <w:rPr>
          <w:rFonts w:ascii="Museo Sans 300" w:hAnsi="Museo Sans 300"/>
          <w:b/>
          <w:sz w:val="22"/>
          <w:szCs w:val="22"/>
          <w:lang w:val="es-MX"/>
        </w:rPr>
        <w:t>.2</w:t>
      </w:r>
      <w:r w:rsidR="00442DE5" w:rsidRPr="00CD1FD1">
        <w:rPr>
          <w:rFonts w:ascii="Museo Sans 300" w:hAnsi="Museo Sans 300"/>
          <w:b/>
          <w:sz w:val="22"/>
          <w:szCs w:val="22"/>
          <w:lang w:val="es-MX"/>
        </w:rPr>
        <w:t xml:space="preserve"> </w:t>
      </w:r>
      <w:r w:rsidR="00BE54F5" w:rsidRPr="00CD1FD1">
        <w:rPr>
          <w:rFonts w:ascii="Museo Sans 300" w:hAnsi="Museo Sans 300"/>
          <w:b/>
          <w:sz w:val="22"/>
          <w:szCs w:val="22"/>
          <w:lang w:val="es-MX"/>
        </w:rPr>
        <w:t>Gasto de capital</w:t>
      </w:r>
      <w:bookmarkEnd w:id="45"/>
      <w:bookmarkEnd w:id="46"/>
    </w:p>
    <w:p w14:paraId="08018B46" w14:textId="77777777" w:rsidR="00BE54F5" w:rsidRPr="00CD1FD1" w:rsidRDefault="00BE54F5" w:rsidP="00BE54F5">
      <w:pPr>
        <w:jc w:val="both"/>
        <w:rPr>
          <w:rFonts w:ascii="Museo Sans 300" w:hAnsi="Museo Sans 300"/>
          <w:sz w:val="22"/>
          <w:szCs w:val="22"/>
          <w:lang w:val="es-MX"/>
        </w:rPr>
      </w:pPr>
    </w:p>
    <w:p w14:paraId="3E48B8F9" w14:textId="77777777" w:rsidR="00BF7266" w:rsidRDefault="00BF7266" w:rsidP="00844663">
      <w:pPr>
        <w:spacing w:before="240" w:after="240"/>
        <w:contextualSpacing/>
        <w:jc w:val="both"/>
        <w:rPr>
          <w:rFonts w:ascii="Museo Sans 300" w:hAnsi="Museo Sans 300" w:cs="Arial"/>
          <w:iCs/>
          <w:sz w:val="22"/>
          <w:szCs w:val="22"/>
          <w:lang w:val="es-419"/>
        </w:rPr>
      </w:pPr>
      <w:r w:rsidRPr="00BF7266">
        <w:rPr>
          <w:rFonts w:ascii="Museo Sans 300" w:hAnsi="Museo Sans 300" w:cs="Arial"/>
          <w:iCs/>
          <w:sz w:val="22"/>
          <w:szCs w:val="22"/>
          <w:lang w:val="es-419"/>
        </w:rPr>
        <w:t>Los gastos de capital del SPNF al mes de junio de 2022 alcanzaron un monto de $415.2 millones, experimentando un incremento de 2.3% con respecto a 2021, producto</w:t>
      </w:r>
      <w:r w:rsidR="00A517F2">
        <w:rPr>
          <w:rFonts w:ascii="Museo Sans 300" w:hAnsi="Museo Sans 300" w:cs="Arial"/>
          <w:iCs/>
          <w:sz w:val="22"/>
          <w:szCs w:val="22"/>
          <w:lang w:val="es-419"/>
        </w:rPr>
        <w:t xml:space="preserve"> </w:t>
      </w:r>
      <w:r w:rsidR="00724FE8">
        <w:rPr>
          <w:rFonts w:ascii="Museo Sans 300" w:hAnsi="Museo Sans 300" w:cs="Arial"/>
          <w:iCs/>
          <w:sz w:val="22"/>
          <w:szCs w:val="22"/>
          <w:lang w:val="es-419"/>
        </w:rPr>
        <w:t>básicamente</w:t>
      </w:r>
      <w:r w:rsidRPr="00BF7266">
        <w:rPr>
          <w:rFonts w:ascii="Museo Sans 300" w:hAnsi="Museo Sans 300" w:cs="Arial"/>
          <w:iCs/>
          <w:sz w:val="22"/>
          <w:szCs w:val="22"/>
          <w:lang w:val="es-419"/>
        </w:rPr>
        <w:t xml:space="preserve"> de incrementos en las transferencias de capital por un valor de $84.1 millones, donde destacan las realizadas</w:t>
      </w:r>
      <w:r w:rsidR="00036F93">
        <w:rPr>
          <w:rFonts w:ascii="Museo Sans 300" w:hAnsi="Museo Sans 300" w:cs="Arial"/>
          <w:iCs/>
          <w:sz w:val="22"/>
          <w:szCs w:val="22"/>
          <w:lang w:val="es-419"/>
        </w:rPr>
        <w:t xml:space="preserve"> </w:t>
      </w:r>
      <w:r w:rsidRPr="00BF7266">
        <w:rPr>
          <w:rFonts w:ascii="Museo Sans 300" w:hAnsi="Museo Sans 300" w:cs="Arial"/>
          <w:iCs/>
          <w:sz w:val="22"/>
          <w:szCs w:val="22"/>
          <w:lang w:val="es-419"/>
        </w:rPr>
        <w:t xml:space="preserve">al ramo de educación destinada a la educación </w:t>
      </w:r>
      <w:proofErr w:type="spellStart"/>
      <w:r w:rsidRPr="00BF7266">
        <w:rPr>
          <w:rFonts w:ascii="Museo Sans 300" w:hAnsi="Museo Sans 300" w:cs="Arial"/>
          <w:iCs/>
          <w:sz w:val="22"/>
          <w:szCs w:val="22"/>
          <w:lang w:val="es-419"/>
        </w:rPr>
        <w:t>parvularia</w:t>
      </w:r>
      <w:proofErr w:type="spellEnd"/>
      <w:r w:rsidRPr="00BF7266">
        <w:rPr>
          <w:rFonts w:ascii="Museo Sans 300" w:hAnsi="Museo Sans 300" w:cs="Arial"/>
          <w:iCs/>
          <w:sz w:val="22"/>
          <w:szCs w:val="22"/>
          <w:lang w:val="es-419"/>
        </w:rPr>
        <w:t>, media y básica por $</w:t>
      </w:r>
      <w:r w:rsidR="00712171">
        <w:rPr>
          <w:rFonts w:ascii="Museo Sans 300" w:hAnsi="Museo Sans 300" w:cs="Arial"/>
          <w:iCs/>
          <w:sz w:val="22"/>
          <w:szCs w:val="22"/>
          <w:lang w:val="es-419"/>
        </w:rPr>
        <w:t>37.8</w:t>
      </w:r>
      <w:r w:rsidRPr="00BF7266">
        <w:rPr>
          <w:rFonts w:ascii="Museo Sans 300" w:hAnsi="Museo Sans 300" w:cs="Arial"/>
          <w:iCs/>
          <w:sz w:val="22"/>
          <w:szCs w:val="22"/>
          <w:lang w:val="es-419"/>
        </w:rPr>
        <w:t xml:space="preserve"> millones</w:t>
      </w:r>
      <w:r w:rsidR="00036F93">
        <w:rPr>
          <w:rFonts w:ascii="Museo Sans 300" w:hAnsi="Museo Sans 300" w:cs="Arial"/>
          <w:iCs/>
          <w:sz w:val="22"/>
          <w:szCs w:val="22"/>
          <w:lang w:val="es-419"/>
        </w:rPr>
        <w:t>;</w:t>
      </w:r>
      <w:r w:rsidRPr="00BF7266">
        <w:rPr>
          <w:rFonts w:ascii="Museo Sans 300" w:hAnsi="Museo Sans 300" w:cs="Arial"/>
          <w:iCs/>
          <w:sz w:val="22"/>
          <w:szCs w:val="22"/>
          <w:lang w:val="es-419"/>
        </w:rPr>
        <w:t xml:space="preserve"> proyectos del Ministerio de Agricultura y Ganadería, </w:t>
      </w:r>
      <w:r w:rsidR="00036F93">
        <w:rPr>
          <w:rFonts w:ascii="Museo Sans 300" w:hAnsi="Museo Sans 300" w:cs="Arial"/>
          <w:iCs/>
          <w:sz w:val="22"/>
          <w:szCs w:val="22"/>
          <w:lang w:val="es-419"/>
        </w:rPr>
        <w:t xml:space="preserve">orientados </w:t>
      </w:r>
      <w:r w:rsidRPr="00BF7266">
        <w:rPr>
          <w:rFonts w:ascii="Museo Sans 300" w:hAnsi="Museo Sans 300" w:cs="Arial"/>
          <w:iCs/>
          <w:sz w:val="22"/>
          <w:szCs w:val="22"/>
          <w:lang w:val="es-419"/>
        </w:rPr>
        <w:t>a la seguridad alimentaria por $ 20.0 millones</w:t>
      </w:r>
    </w:p>
    <w:p w14:paraId="06ECF94F" w14:textId="77777777" w:rsidR="00BF7266" w:rsidRPr="00BF7266" w:rsidRDefault="00BF7266" w:rsidP="00BF7266">
      <w:pPr>
        <w:spacing w:before="240" w:after="240"/>
        <w:contextualSpacing/>
        <w:jc w:val="both"/>
        <w:rPr>
          <w:rFonts w:ascii="Museo Sans 300" w:hAnsi="Museo Sans 300" w:cs="Arial"/>
          <w:iCs/>
          <w:sz w:val="22"/>
          <w:szCs w:val="22"/>
          <w:lang w:val="es-419"/>
        </w:rPr>
      </w:pPr>
    </w:p>
    <w:p w14:paraId="4C24FECD" w14:textId="77777777" w:rsidR="00BF7266" w:rsidRPr="00BF7266" w:rsidRDefault="00BF7266" w:rsidP="00BF7266">
      <w:pPr>
        <w:spacing w:before="240" w:after="240"/>
        <w:contextualSpacing/>
        <w:jc w:val="both"/>
        <w:rPr>
          <w:rFonts w:ascii="Museo Sans 300" w:hAnsi="Museo Sans 300" w:cs="Arial"/>
          <w:iCs/>
          <w:sz w:val="22"/>
          <w:szCs w:val="22"/>
          <w:lang w:val="es-419"/>
        </w:rPr>
      </w:pPr>
      <w:r w:rsidRPr="00BF7266">
        <w:rPr>
          <w:rFonts w:ascii="Museo Sans 300" w:hAnsi="Museo Sans 300" w:cs="Arial"/>
          <w:iCs/>
          <w:sz w:val="22"/>
          <w:szCs w:val="22"/>
          <w:lang w:val="es-419"/>
        </w:rPr>
        <w:t xml:space="preserve">La Inversión Pública del SPNF alcanzó un valor de $289.2 millones, menor en $74.9 millones con respecto a la Inversión ejecutada a la misma fecha del año anterior; representando un 1.0% del PIB. Dicho resultado está asociado a </w:t>
      </w:r>
      <w:r w:rsidR="00712171">
        <w:rPr>
          <w:rFonts w:ascii="Museo Sans 300" w:hAnsi="Museo Sans 300" w:cs="Arial"/>
          <w:iCs/>
          <w:sz w:val="22"/>
          <w:szCs w:val="22"/>
          <w:lang w:val="es-419"/>
        </w:rPr>
        <w:t xml:space="preserve">que en el primer semestre inician </w:t>
      </w:r>
      <w:r w:rsidRPr="00BF7266">
        <w:rPr>
          <w:rFonts w:ascii="Museo Sans 300" w:hAnsi="Museo Sans 300" w:cs="Arial"/>
          <w:iCs/>
          <w:sz w:val="22"/>
          <w:szCs w:val="22"/>
          <w:lang w:val="es-419"/>
        </w:rPr>
        <w:t>los procesos de licitaciones, adquisiciones y contrataciones</w:t>
      </w:r>
      <w:r w:rsidR="00712171">
        <w:rPr>
          <w:rFonts w:ascii="Museo Sans 300" w:hAnsi="Museo Sans 300" w:cs="Arial"/>
          <w:iCs/>
          <w:sz w:val="22"/>
          <w:szCs w:val="22"/>
          <w:lang w:val="es-419"/>
        </w:rPr>
        <w:t>, lo cual se regulariza en el segundo semestre del año</w:t>
      </w:r>
      <w:r w:rsidRPr="00BF7266">
        <w:rPr>
          <w:rFonts w:ascii="Museo Sans 300" w:hAnsi="Museo Sans 300" w:cs="Arial"/>
          <w:iCs/>
          <w:sz w:val="22"/>
          <w:szCs w:val="22"/>
          <w:lang w:val="es-419"/>
        </w:rPr>
        <w:t xml:space="preserve">; sin embargo, se puede observar un mayor dinamismo en la ejecución de programas/proyectos de algunas instituciones como CEL, MINEDUCYT, MINSAL, DOM. </w:t>
      </w:r>
      <w:r w:rsidRPr="00CD1FD1">
        <w:rPr>
          <w:rFonts w:ascii="Museo Sans 300" w:hAnsi="Museo Sans 300" w:cs="Arial"/>
          <w:iCs/>
          <w:sz w:val="22"/>
          <w:szCs w:val="22"/>
          <w:lang w:val="es-MX"/>
        </w:rPr>
        <w:t>Para los próximos meses del 2022 se tiene previsto mayores porcentajes en la ejecución de inversiones principalmente en proyectos energéticos y de conectividad vial, entre otros.</w:t>
      </w:r>
    </w:p>
    <w:p w14:paraId="424FD3AB" w14:textId="77777777" w:rsidR="00BF7266" w:rsidRPr="00BF7266" w:rsidRDefault="00BF7266" w:rsidP="00BF7266">
      <w:pPr>
        <w:spacing w:before="240" w:after="240"/>
        <w:contextualSpacing/>
        <w:jc w:val="both"/>
        <w:rPr>
          <w:rFonts w:ascii="Museo Sans 300" w:hAnsi="Museo Sans 300" w:cs="Arial"/>
          <w:iCs/>
          <w:sz w:val="22"/>
          <w:szCs w:val="22"/>
          <w:lang w:val="es-419"/>
        </w:rPr>
      </w:pPr>
    </w:p>
    <w:p w14:paraId="0B780EC2" w14:textId="77777777" w:rsidR="00BF7266" w:rsidRPr="00BF7266" w:rsidRDefault="00BF7266" w:rsidP="00BF7266">
      <w:pPr>
        <w:spacing w:before="240" w:after="240"/>
        <w:contextualSpacing/>
        <w:jc w:val="both"/>
        <w:rPr>
          <w:rFonts w:ascii="Museo Sans 300" w:hAnsi="Museo Sans 300" w:cs="Arial"/>
          <w:iCs/>
          <w:sz w:val="22"/>
          <w:szCs w:val="22"/>
          <w:lang w:val="es-419"/>
        </w:rPr>
      </w:pPr>
      <w:r w:rsidRPr="00BF7266">
        <w:rPr>
          <w:rFonts w:ascii="Museo Sans 300" w:hAnsi="Museo Sans 300" w:cs="Arial"/>
          <w:iCs/>
          <w:sz w:val="22"/>
          <w:szCs w:val="22"/>
          <w:lang w:val="es-419"/>
        </w:rPr>
        <w:t>A nivel de subsectores, el Gobierno Central Consolidado ejecutó el 77.5% ($224.0 millones) del total, Resto del Gobierno General</w:t>
      </w:r>
      <w:r w:rsidR="00036F93">
        <w:rPr>
          <w:rFonts w:ascii="Museo Sans 300" w:hAnsi="Museo Sans 300" w:cs="Arial"/>
          <w:iCs/>
          <w:sz w:val="22"/>
          <w:szCs w:val="22"/>
          <w:lang w:val="es-419"/>
        </w:rPr>
        <w:t>,</w:t>
      </w:r>
      <w:r w:rsidRPr="00BF7266">
        <w:rPr>
          <w:rFonts w:ascii="Museo Sans 300" w:hAnsi="Museo Sans 300" w:cs="Arial"/>
          <w:iCs/>
          <w:sz w:val="22"/>
          <w:szCs w:val="22"/>
          <w:lang w:val="es-419"/>
        </w:rPr>
        <w:t xml:space="preserve"> 2.7 % ($7.7 millones) y las Empresas Públicas ejecutaron un 19.9% ($57.4 millones) del total.</w:t>
      </w:r>
    </w:p>
    <w:p w14:paraId="17DACE78" w14:textId="77777777" w:rsidR="00BF7266" w:rsidRPr="00BF7266" w:rsidRDefault="00BF7266" w:rsidP="007628C0">
      <w:pPr>
        <w:spacing w:before="240" w:after="240"/>
        <w:contextualSpacing/>
        <w:jc w:val="both"/>
        <w:rPr>
          <w:rFonts w:ascii="Museo Sans 300" w:hAnsi="Museo Sans 300" w:cs="Arial"/>
          <w:iCs/>
          <w:sz w:val="22"/>
          <w:szCs w:val="22"/>
          <w:highlight w:val="yellow"/>
        </w:rPr>
      </w:pPr>
    </w:p>
    <w:p w14:paraId="402F8897" w14:textId="77777777" w:rsidR="000B7219" w:rsidRDefault="00843EEE" w:rsidP="00051DD1">
      <w:pPr>
        <w:spacing w:before="240" w:after="240"/>
        <w:contextualSpacing/>
        <w:jc w:val="center"/>
        <w:rPr>
          <w:rFonts w:ascii="Museo Sans 300" w:hAnsi="Museo Sans 300"/>
          <w:sz w:val="22"/>
          <w:szCs w:val="22"/>
          <w:lang w:val="es-MX"/>
        </w:rPr>
      </w:pPr>
      <w:r w:rsidRPr="00CD1FD1">
        <w:rPr>
          <w:rFonts w:ascii="Museo Sans 300" w:hAnsi="Museo Sans 300" w:cs="Arial"/>
          <w:iCs/>
          <w:sz w:val="22"/>
          <w:szCs w:val="22"/>
          <w:lang w:val="es-419"/>
        </w:rPr>
        <w:t>.</w:t>
      </w:r>
      <w:r w:rsidR="007628C0" w:rsidRPr="00CD1FD1">
        <w:rPr>
          <w:rFonts w:ascii="Museo Sans 300" w:hAnsi="Museo Sans 300" w:cs="Arial"/>
          <w:iCs/>
          <w:sz w:val="22"/>
          <w:szCs w:val="22"/>
          <w:lang w:val="es-MX"/>
        </w:rPr>
        <w:t xml:space="preserve"> </w:t>
      </w:r>
      <w:r w:rsidR="000B7219" w:rsidRPr="00CD1FD1">
        <w:rPr>
          <w:rFonts w:ascii="Museo Sans 300" w:hAnsi="Museo Sans 300"/>
          <w:sz w:val="22"/>
          <w:szCs w:val="22"/>
          <w:lang w:val="es-MX"/>
        </w:rPr>
        <w:t xml:space="preserve">Gráfico </w:t>
      </w:r>
      <w:r w:rsidR="008C628A">
        <w:rPr>
          <w:rFonts w:ascii="Museo Sans 300" w:hAnsi="Museo Sans 300"/>
          <w:sz w:val="22"/>
          <w:szCs w:val="22"/>
          <w:lang w:val="es-MX"/>
        </w:rPr>
        <w:t>7</w:t>
      </w:r>
      <w:r w:rsidR="000B7219" w:rsidRPr="00CD1FD1">
        <w:rPr>
          <w:rFonts w:ascii="Museo Sans 300" w:hAnsi="Museo Sans 300"/>
          <w:sz w:val="22"/>
          <w:szCs w:val="22"/>
          <w:lang w:val="es-MX"/>
        </w:rPr>
        <w:t xml:space="preserve">: Inversión </w:t>
      </w:r>
      <w:r w:rsidR="001D7D68" w:rsidRPr="00CD1FD1">
        <w:rPr>
          <w:rFonts w:ascii="Museo Sans 300" w:hAnsi="Museo Sans 300"/>
          <w:sz w:val="22"/>
          <w:szCs w:val="22"/>
          <w:lang w:val="es-MX"/>
        </w:rPr>
        <w:t>Pública a</w:t>
      </w:r>
      <w:r w:rsidR="000B7219" w:rsidRPr="00CD1FD1">
        <w:rPr>
          <w:rFonts w:ascii="Museo Sans 300" w:hAnsi="Museo Sans 300"/>
          <w:sz w:val="22"/>
          <w:szCs w:val="22"/>
          <w:lang w:val="es-MX"/>
        </w:rPr>
        <w:t xml:space="preserve"> </w:t>
      </w:r>
      <w:r w:rsidR="00C722FC">
        <w:rPr>
          <w:rFonts w:ascii="Museo Sans 300" w:hAnsi="Museo Sans 300"/>
          <w:sz w:val="22"/>
          <w:szCs w:val="22"/>
          <w:lang w:val="es-MX"/>
        </w:rPr>
        <w:t>junio</w:t>
      </w:r>
      <w:r w:rsidR="000B7219" w:rsidRPr="00CD1FD1">
        <w:rPr>
          <w:rFonts w:ascii="Museo Sans 300" w:hAnsi="Museo Sans 300"/>
          <w:sz w:val="22"/>
          <w:szCs w:val="22"/>
          <w:lang w:val="es-MX"/>
        </w:rPr>
        <w:t xml:space="preserve"> 20</w:t>
      </w:r>
      <w:r w:rsidR="00861E9B" w:rsidRPr="00CD1FD1">
        <w:rPr>
          <w:rFonts w:ascii="Museo Sans 300" w:hAnsi="Museo Sans 300"/>
          <w:sz w:val="22"/>
          <w:szCs w:val="22"/>
          <w:lang w:val="es-MX"/>
        </w:rPr>
        <w:t>14</w:t>
      </w:r>
      <w:r w:rsidR="000B7219" w:rsidRPr="00CD1FD1">
        <w:rPr>
          <w:rFonts w:ascii="Museo Sans 300" w:hAnsi="Museo Sans 300"/>
          <w:sz w:val="22"/>
          <w:szCs w:val="22"/>
          <w:lang w:val="es-MX"/>
        </w:rPr>
        <w:t>-</w:t>
      </w:r>
      <w:r w:rsidR="00042C94" w:rsidRPr="00CD1FD1">
        <w:rPr>
          <w:rFonts w:ascii="Museo Sans 300" w:hAnsi="Museo Sans 300"/>
          <w:sz w:val="22"/>
          <w:szCs w:val="22"/>
          <w:lang w:val="es-MX"/>
        </w:rPr>
        <w:t>202</w:t>
      </w:r>
      <w:r w:rsidR="003D01C6" w:rsidRPr="00CD1FD1">
        <w:rPr>
          <w:rFonts w:ascii="Museo Sans 300" w:hAnsi="Museo Sans 300"/>
          <w:sz w:val="22"/>
          <w:szCs w:val="22"/>
          <w:lang w:val="es-MX"/>
        </w:rPr>
        <w:t>2</w:t>
      </w:r>
    </w:p>
    <w:p w14:paraId="7A97EF21" w14:textId="77777777" w:rsidR="0012688D" w:rsidRPr="00CD1FD1" w:rsidRDefault="0012688D" w:rsidP="000B7219">
      <w:pPr>
        <w:jc w:val="center"/>
        <w:rPr>
          <w:rFonts w:ascii="Museo Sans 300" w:hAnsi="Museo Sans 300"/>
          <w:sz w:val="22"/>
          <w:szCs w:val="22"/>
          <w:lang w:val="es-MX"/>
        </w:rPr>
      </w:pPr>
    </w:p>
    <w:p w14:paraId="31BDC2DE" w14:textId="77777777" w:rsidR="003D01C6" w:rsidRPr="00987C7A" w:rsidRDefault="00A517F2" w:rsidP="000B7219">
      <w:pPr>
        <w:jc w:val="center"/>
        <w:rPr>
          <w:rFonts w:ascii="Museo Sans 300" w:hAnsi="Museo Sans 300"/>
          <w:sz w:val="22"/>
          <w:szCs w:val="22"/>
          <w:lang w:val="es-MX"/>
        </w:rPr>
      </w:pPr>
      <w:r w:rsidRPr="00A517F2">
        <w:rPr>
          <w:noProof/>
        </w:rPr>
        <w:drawing>
          <wp:inline distT="0" distB="0" distL="0" distR="0" wp14:anchorId="564B824A" wp14:editId="29D2318B">
            <wp:extent cx="5079562" cy="3045854"/>
            <wp:effectExtent l="0" t="0" r="698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7177" cy="3056416"/>
                    </a:xfrm>
                    <a:prstGeom prst="rect">
                      <a:avLst/>
                    </a:prstGeom>
                    <a:noFill/>
                    <a:ln>
                      <a:noFill/>
                    </a:ln>
                  </pic:spPr>
                </pic:pic>
              </a:graphicData>
            </a:graphic>
          </wp:inline>
        </w:drawing>
      </w:r>
    </w:p>
    <w:p w14:paraId="57E99E7B" w14:textId="77777777" w:rsidR="003E7EAD" w:rsidRPr="00CD1FD1" w:rsidRDefault="003E7EAD" w:rsidP="000B7219">
      <w:pPr>
        <w:jc w:val="center"/>
        <w:rPr>
          <w:rFonts w:ascii="Museo Sans 300" w:hAnsi="Museo Sans 300"/>
          <w:sz w:val="22"/>
          <w:szCs w:val="22"/>
          <w:lang w:val="es-MX"/>
        </w:rPr>
      </w:pPr>
    </w:p>
    <w:p w14:paraId="3871BABD" w14:textId="77777777" w:rsidR="00201628" w:rsidRPr="00CD1FD1" w:rsidRDefault="00201628" w:rsidP="00080BF7">
      <w:pPr>
        <w:ind w:right="-32"/>
        <w:jc w:val="both"/>
        <w:rPr>
          <w:rFonts w:ascii="Museo Sans 300" w:hAnsi="Museo Sans 300" w:cs="Arial"/>
          <w:iCs/>
          <w:sz w:val="22"/>
          <w:szCs w:val="22"/>
        </w:rPr>
      </w:pPr>
    </w:p>
    <w:p w14:paraId="7E15A745" w14:textId="77777777" w:rsidR="00AB5AA8" w:rsidRPr="00CD1FD1" w:rsidRDefault="00AB5AA8" w:rsidP="00AB5AA8">
      <w:pPr>
        <w:jc w:val="both"/>
        <w:rPr>
          <w:rFonts w:ascii="Museo Sans 300" w:hAnsi="Museo Sans 300"/>
          <w:sz w:val="22"/>
          <w:szCs w:val="22"/>
          <w:lang w:val="es-MX"/>
        </w:rPr>
      </w:pPr>
      <w:r w:rsidRPr="00CD1FD1">
        <w:rPr>
          <w:rFonts w:ascii="Museo Sans 300" w:hAnsi="Museo Sans 300"/>
          <w:sz w:val="22"/>
          <w:szCs w:val="22"/>
          <w:lang w:val="es-MX"/>
        </w:rPr>
        <w:t xml:space="preserve">Por sectores de actividad, la inversión en el sector Desarrollo </w:t>
      </w:r>
      <w:r w:rsidR="001D7D68" w:rsidRPr="00CD1FD1">
        <w:rPr>
          <w:rFonts w:ascii="Museo Sans 300" w:hAnsi="Museo Sans 300"/>
          <w:sz w:val="22"/>
          <w:szCs w:val="22"/>
          <w:lang w:val="es-MX"/>
        </w:rPr>
        <w:t xml:space="preserve">Económico </w:t>
      </w:r>
      <w:r w:rsidRPr="00CD1FD1">
        <w:rPr>
          <w:rFonts w:ascii="Museo Sans 300" w:hAnsi="Museo Sans 300"/>
          <w:sz w:val="22"/>
          <w:szCs w:val="22"/>
          <w:lang w:val="es-MX"/>
        </w:rPr>
        <w:t>se ejecutó un total de $</w:t>
      </w:r>
      <w:r w:rsidR="00051DD1">
        <w:rPr>
          <w:rFonts w:ascii="Museo Sans 300" w:hAnsi="Museo Sans 300"/>
          <w:sz w:val="22"/>
          <w:szCs w:val="22"/>
          <w:lang w:val="es-MX"/>
        </w:rPr>
        <w:t>101.0</w:t>
      </w:r>
      <w:r w:rsidR="00AB3647"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millones, con una participación de </w:t>
      </w:r>
      <w:r w:rsidR="00051DD1">
        <w:rPr>
          <w:rFonts w:ascii="Museo Sans 300" w:hAnsi="Museo Sans 300"/>
          <w:sz w:val="22"/>
          <w:szCs w:val="22"/>
          <w:lang w:val="es-MX"/>
        </w:rPr>
        <w:t>34.9</w:t>
      </w:r>
      <w:r w:rsidRPr="00CD1FD1">
        <w:rPr>
          <w:rFonts w:ascii="Museo Sans 300" w:hAnsi="Museo Sans 300"/>
          <w:sz w:val="22"/>
          <w:szCs w:val="22"/>
          <w:lang w:val="es-MX"/>
        </w:rPr>
        <w:t>% de la inversión total, destacando los recursos destinados al subsector de Transporte y Almacenaje ($</w:t>
      </w:r>
      <w:r w:rsidR="00051DD1">
        <w:rPr>
          <w:rFonts w:ascii="Museo Sans 300" w:hAnsi="Museo Sans 300"/>
          <w:sz w:val="22"/>
          <w:szCs w:val="22"/>
          <w:lang w:val="es-MX"/>
        </w:rPr>
        <w:t>41.6</w:t>
      </w:r>
      <w:r w:rsidRPr="00CD1FD1">
        <w:rPr>
          <w:rFonts w:ascii="Museo Sans 300" w:hAnsi="Museo Sans 300"/>
          <w:sz w:val="22"/>
          <w:szCs w:val="22"/>
          <w:lang w:val="es-MX"/>
        </w:rPr>
        <w:t xml:space="preserve"> millones</w:t>
      </w:r>
      <w:r w:rsidR="000B7219" w:rsidRPr="00CD1FD1">
        <w:rPr>
          <w:rFonts w:ascii="Museo Sans 300" w:hAnsi="Museo Sans 300"/>
          <w:sz w:val="22"/>
          <w:szCs w:val="22"/>
          <w:lang w:val="es-MX"/>
        </w:rPr>
        <w:t xml:space="preserve"> con una participación del </w:t>
      </w:r>
      <w:r w:rsidR="004B4137" w:rsidRPr="00CD1FD1">
        <w:rPr>
          <w:rFonts w:ascii="Museo Sans 300" w:hAnsi="Museo Sans 300"/>
          <w:sz w:val="22"/>
          <w:szCs w:val="22"/>
          <w:lang w:val="es-MX"/>
        </w:rPr>
        <w:t>1</w:t>
      </w:r>
      <w:r w:rsidR="00051DD1">
        <w:rPr>
          <w:rFonts w:ascii="Museo Sans 300" w:hAnsi="Museo Sans 300"/>
          <w:sz w:val="22"/>
          <w:szCs w:val="22"/>
          <w:lang w:val="es-MX"/>
        </w:rPr>
        <w:t>4.4</w:t>
      </w:r>
      <w:r w:rsidR="000B7219" w:rsidRPr="00CD1FD1">
        <w:rPr>
          <w:rFonts w:ascii="Museo Sans 300" w:hAnsi="Museo Sans 300"/>
          <w:sz w:val="22"/>
          <w:szCs w:val="22"/>
          <w:lang w:val="es-MX"/>
        </w:rPr>
        <w:t>%</w:t>
      </w:r>
      <w:r w:rsidRPr="00CD1FD1">
        <w:rPr>
          <w:rFonts w:ascii="Museo Sans 300" w:hAnsi="Museo Sans 300"/>
          <w:sz w:val="22"/>
          <w:szCs w:val="22"/>
          <w:lang w:val="es-MX"/>
        </w:rPr>
        <w:t>)</w:t>
      </w:r>
      <w:r w:rsidR="008B0B64" w:rsidRPr="00CD1FD1">
        <w:rPr>
          <w:rFonts w:ascii="Museo Sans 300" w:hAnsi="Museo Sans 300"/>
          <w:sz w:val="22"/>
          <w:szCs w:val="22"/>
          <w:lang w:val="es-MX"/>
        </w:rPr>
        <w:t xml:space="preserve"> y el sector de energía</w:t>
      </w:r>
      <w:r w:rsidR="00FB353F" w:rsidRPr="00CD1FD1">
        <w:rPr>
          <w:rFonts w:ascii="Museo Sans 300" w:hAnsi="Museo Sans 300"/>
          <w:sz w:val="22"/>
          <w:szCs w:val="22"/>
          <w:lang w:val="es-MX"/>
        </w:rPr>
        <w:t xml:space="preserve"> </w:t>
      </w:r>
      <w:r w:rsidR="008B0B64" w:rsidRPr="00CD1FD1">
        <w:rPr>
          <w:rFonts w:ascii="Museo Sans 300" w:hAnsi="Museo Sans 300"/>
          <w:sz w:val="22"/>
          <w:szCs w:val="22"/>
          <w:lang w:val="es-MX"/>
        </w:rPr>
        <w:t>($</w:t>
      </w:r>
      <w:r w:rsidR="00051DD1">
        <w:rPr>
          <w:rFonts w:ascii="Museo Sans 300" w:hAnsi="Museo Sans 300"/>
          <w:sz w:val="22"/>
          <w:szCs w:val="22"/>
          <w:lang w:val="es-MX"/>
        </w:rPr>
        <w:t>53.2</w:t>
      </w:r>
      <w:r w:rsidR="008B0B64" w:rsidRPr="00CD1FD1">
        <w:rPr>
          <w:rFonts w:ascii="Museo Sans 300" w:hAnsi="Museo Sans 300"/>
          <w:sz w:val="22"/>
          <w:szCs w:val="22"/>
          <w:lang w:val="es-MX"/>
        </w:rPr>
        <w:t xml:space="preserve"> millones con una participación del </w:t>
      </w:r>
      <w:r w:rsidR="004B4137" w:rsidRPr="00CD1FD1">
        <w:rPr>
          <w:rFonts w:ascii="Museo Sans 300" w:hAnsi="Museo Sans 300"/>
          <w:sz w:val="22"/>
          <w:szCs w:val="22"/>
          <w:lang w:val="es-MX"/>
        </w:rPr>
        <w:t>18.</w:t>
      </w:r>
      <w:r w:rsidR="00051DD1">
        <w:rPr>
          <w:rFonts w:ascii="Museo Sans 300" w:hAnsi="Museo Sans 300"/>
          <w:sz w:val="22"/>
          <w:szCs w:val="22"/>
          <w:lang w:val="es-MX"/>
        </w:rPr>
        <w:t>4</w:t>
      </w:r>
      <w:r w:rsidR="008B0B64"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entre otros, tal como se muestra en la tabla No. </w:t>
      </w:r>
      <w:r w:rsidR="008B0B64" w:rsidRPr="00CD1FD1">
        <w:rPr>
          <w:rFonts w:ascii="Museo Sans 300" w:hAnsi="Museo Sans 300"/>
          <w:sz w:val="22"/>
          <w:szCs w:val="22"/>
          <w:lang w:val="es-MX"/>
        </w:rPr>
        <w:t>4</w:t>
      </w:r>
      <w:r w:rsidRPr="00CD1FD1">
        <w:rPr>
          <w:rFonts w:ascii="Museo Sans 300" w:hAnsi="Museo Sans 300"/>
          <w:sz w:val="22"/>
          <w:szCs w:val="22"/>
          <w:lang w:val="es-MX"/>
        </w:rPr>
        <w:t>.</w:t>
      </w:r>
    </w:p>
    <w:p w14:paraId="1FBEEE44" w14:textId="77777777" w:rsidR="00E52CBD" w:rsidRPr="00CD1FD1" w:rsidRDefault="00E52CBD" w:rsidP="004A685A">
      <w:pPr>
        <w:jc w:val="both"/>
        <w:rPr>
          <w:rFonts w:ascii="Museo Sans 300" w:hAnsi="Museo Sans 300"/>
          <w:sz w:val="22"/>
          <w:szCs w:val="22"/>
          <w:lang w:val="es-MX"/>
        </w:rPr>
      </w:pPr>
    </w:p>
    <w:p w14:paraId="7AC76544" w14:textId="77777777" w:rsidR="00231F0C" w:rsidRDefault="005327AE" w:rsidP="00231F0C">
      <w:pPr>
        <w:jc w:val="both"/>
        <w:rPr>
          <w:rFonts w:ascii="Museo Sans 300" w:hAnsi="Museo Sans 300"/>
          <w:sz w:val="22"/>
          <w:szCs w:val="22"/>
          <w:lang w:val="es-MX"/>
        </w:rPr>
      </w:pPr>
      <w:r w:rsidRPr="00CD1FD1">
        <w:rPr>
          <w:rFonts w:ascii="Museo Sans 300" w:hAnsi="Museo Sans 300"/>
          <w:sz w:val="22"/>
          <w:szCs w:val="22"/>
          <w:lang w:val="es-MX"/>
        </w:rPr>
        <w:t>Asimismo, la inversión para el Desarrollo Social ascendió a $</w:t>
      </w:r>
      <w:r w:rsidR="00051DD1">
        <w:rPr>
          <w:rFonts w:ascii="Museo Sans 300" w:hAnsi="Museo Sans 300"/>
          <w:sz w:val="22"/>
          <w:szCs w:val="22"/>
          <w:lang w:val="es-MX"/>
        </w:rPr>
        <w:t>174.4</w:t>
      </w:r>
      <w:r w:rsidRPr="00CD1FD1">
        <w:rPr>
          <w:rFonts w:ascii="Museo Sans 300" w:hAnsi="Museo Sans 300"/>
          <w:sz w:val="22"/>
          <w:szCs w:val="22"/>
          <w:lang w:val="es-MX"/>
        </w:rPr>
        <w:t xml:space="preserve"> millones, con una participación del</w:t>
      </w:r>
      <w:r w:rsidR="008B0B64" w:rsidRPr="00CD1FD1">
        <w:rPr>
          <w:rFonts w:ascii="Museo Sans 300" w:hAnsi="Museo Sans 300"/>
          <w:sz w:val="22"/>
          <w:szCs w:val="22"/>
          <w:lang w:val="es-MX"/>
        </w:rPr>
        <w:t xml:space="preserve"> </w:t>
      </w:r>
      <w:r w:rsidR="00051DD1">
        <w:rPr>
          <w:rFonts w:ascii="Museo Sans 300" w:hAnsi="Museo Sans 300"/>
          <w:sz w:val="22"/>
          <w:szCs w:val="22"/>
          <w:lang w:val="es-MX"/>
        </w:rPr>
        <w:t>60.3</w:t>
      </w:r>
      <w:r w:rsidRPr="00CD1FD1">
        <w:rPr>
          <w:rFonts w:ascii="Museo Sans 300" w:hAnsi="Museo Sans 300"/>
          <w:sz w:val="22"/>
          <w:szCs w:val="22"/>
          <w:lang w:val="es-MX"/>
        </w:rPr>
        <w:t xml:space="preserve">% en la inversión total, destacándose las obras </w:t>
      </w:r>
      <w:r w:rsidR="004B4137" w:rsidRPr="00CD1FD1">
        <w:rPr>
          <w:rFonts w:ascii="Museo Sans 300" w:hAnsi="Museo Sans 300"/>
          <w:sz w:val="22"/>
          <w:szCs w:val="22"/>
          <w:lang w:val="es-MX"/>
        </w:rPr>
        <w:t>salud</w:t>
      </w:r>
      <w:r w:rsidRPr="00CD1FD1">
        <w:rPr>
          <w:rFonts w:ascii="Museo Sans 300" w:hAnsi="Museo Sans 300"/>
          <w:sz w:val="22"/>
          <w:szCs w:val="22"/>
          <w:lang w:val="es-MX"/>
        </w:rPr>
        <w:t xml:space="preserve">, </w:t>
      </w:r>
      <w:r w:rsidR="00C67E88" w:rsidRPr="00CD1FD1">
        <w:rPr>
          <w:rFonts w:ascii="Museo Sans 300" w:hAnsi="Museo Sans 300"/>
          <w:sz w:val="22"/>
          <w:szCs w:val="22"/>
          <w:lang w:val="es-MX"/>
        </w:rPr>
        <w:t>con $</w:t>
      </w:r>
      <w:r w:rsidR="004B4137" w:rsidRPr="00CD1FD1">
        <w:rPr>
          <w:rFonts w:ascii="Museo Sans 300" w:hAnsi="Museo Sans 300"/>
          <w:sz w:val="22"/>
          <w:szCs w:val="22"/>
          <w:lang w:val="es-MX"/>
        </w:rPr>
        <w:t>2</w:t>
      </w:r>
      <w:r w:rsidR="00051DD1">
        <w:rPr>
          <w:rFonts w:ascii="Museo Sans 300" w:hAnsi="Museo Sans 300"/>
          <w:sz w:val="22"/>
          <w:szCs w:val="22"/>
          <w:lang w:val="es-MX"/>
        </w:rPr>
        <w:t>9.6</w:t>
      </w:r>
      <w:r w:rsidR="00C67E88" w:rsidRPr="00CD1FD1">
        <w:rPr>
          <w:rFonts w:ascii="Museo Sans 300" w:hAnsi="Museo Sans 300"/>
          <w:sz w:val="22"/>
          <w:szCs w:val="22"/>
          <w:lang w:val="es-MX"/>
        </w:rPr>
        <w:t xml:space="preserve"> millones con una participación de 1</w:t>
      </w:r>
      <w:r w:rsidR="00051DD1">
        <w:rPr>
          <w:rFonts w:ascii="Museo Sans 300" w:hAnsi="Museo Sans 300"/>
          <w:sz w:val="22"/>
          <w:szCs w:val="22"/>
          <w:lang w:val="es-MX"/>
        </w:rPr>
        <w:t>0</w:t>
      </w:r>
      <w:r w:rsidR="008758FC" w:rsidRPr="00CD1FD1">
        <w:rPr>
          <w:rFonts w:ascii="Museo Sans 300" w:hAnsi="Museo Sans 300"/>
          <w:sz w:val="22"/>
          <w:szCs w:val="22"/>
          <w:lang w:val="es-MX"/>
        </w:rPr>
        <w:t>.2</w:t>
      </w:r>
      <w:r w:rsidR="00C67E88" w:rsidRPr="00CD1FD1">
        <w:rPr>
          <w:rFonts w:ascii="Museo Sans 300" w:hAnsi="Museo Sans 300"/>
          <w:sz w:val="22"/>
          <w:szCs w:val="22"/>
          <w:lang w:val="es-MX"/>
        </w:rPr>
        <w:t>%</w:t>
      </w:r>
      <w:r w:rsidR="00A41536" w:rsidRPr="00CD1FD1">
        <w:rPr>
          <w:rFonts w:ascii="Museo Sans 300" w:hAnsi="Museo Sans 300"/>
          <w:sz w:val="22"/>
          <w:szCs w:val="22"/>
          <w:lang w:val="es-MX"/>
        </w:rPr>
        <w:t xml:space="preserve"> del total</w:t>
      </w:r>
      <w:r w:rsidR="00C67E88" w:rsidRPr="00CD1FD1">
        <w:rPr>
          <w:rFonts w:ascii="Museo Sans 300" w:hAnsi="Museo Sans 300"/>
          <w:sz w:val="22"/>
          <w:szCs w:val="22"/>
          <w:lang w:val="es-MX"/>
        </w:rPr>
        <w:t>,</w:t>
      </w:r>
      <w:r w:rsidR="008758FC" w:rsidRPr="00CD1FD1">
        <w:rPr>
          <w:rFonts w:ascii="Museo Sans 300" w:hAnsi="Museo Sans 300"/>
          <w:sz w:val="22"/>
          <w:szCs w:val="22"/>
          <w:lang w:val="es-MX"/>
        </w:rPr>
        <w:t xml:space="preserve"> y Agua Potable y Alcantarillado con $</w:t>
      </w:r>
      <w:r w:rsidR="00051DD1">
        <w:rPr>
          <w:rFonts w:ascii="Museo Sans 300" w:hAnsi="Museo Sans 300"/>
          <w:sz w:val="22"/>
          <w:szCs w:val="22"/>
          <w:lang w:val="es-MX"/>
        </w:rPr>
        <w:t>23.4</w:t>
      </w:r>
      <w:r w:rsidR="008758FC" w:rsidRPr="00CD1FD1">
        <w:rPr>
          <w:rFonts w:ascii="Museo Sans 300" w:hAnsi="Museo Sans 300"/>
          <w:sz w:val="22"/>
          <w:szCs w:val="22"/>
          <w:lang w:val="es-MX"/>
        </w:rPr>
        <w:t xml:space="preserve"> millones que participó con </w:t>
      </w:r>
      <w:r w:rsidR="00051DD1">
        <w:rPr>
          <w:rFonts w:ascii="Museo Sans 300" w:hAnsi="Museo Sans 300"/>
          <w:sz w:val="22"/>
          <w:szCs w:val="22"/>
          <w:lang w:val="es-MX"/>
        </w:rPr>
        <w:t>8.1</w:t>
      </w:r>
      <w:r w:rsidR="008758FC" w:rsidRPr="00CD1FD1">
        <w:rPr>
          <w:rFonts w:ascii="Museo Sans 300" w:hAnsi="Museo Sans 300"/>
          <w:sz w:val="22"/>
          <w:szCs w:val="22"/>
          <w:lang w:val="es-MX"/>
        </w:rPr>
        <w:t>%</w:t>
      </w:r>
      <w:r w:rsidR="00051DD1">
        <w:rPr>
          <w:rFonts w:ascii="Museo Sans 300" w:hAnsi="Museo Sans 300"/>
          <w:sz w:val="22"/>
          <w:szCs w:val="22"/>
          <w:lang w:val="es-MX"/>
        </w:rPr>
        <w:t>;Educación y Cultura $57.1 millones con una participación</w:t>
      </w:r>
      <w:r w:rsidR="00036F93">
        <w:rPr>
          <w:rFonts w:ascii="Museo Sans 300" w:hAnsi="Museo Sans 300"/>
          <w:sz w:val="22"/>
          <w:szCs w:val="22"/>
          <w:lang w:val="es-MX"/>
        </w:rPr>
        <w:t xml:space="preserve"> </w:t>
      </w:r>
      <w:r w:rsidR="00051DD1">
        <w:rPr>
          <w:rFonts w:ascii="Museo Sans 300" w:hAnsi="Museo Sans 300"/>
          <w:sz w:val="22"/>
          <w:szCs w:val="22"/>
          <w:lang w:val="es-MX"/>
        </w:rPr>
        <w:t>19.7%; y Desarrollo Urbano y Comunal $47.5 millones, equiv</w:t>
      </w:r>
      <w:r w:rsidR="00B914BA">
        <w:rPr>
          <w:rFonts w:ascii="Museo Sans 300" w:hAnsi="Museo Sans 300"/>
          <w:sz w:val="22"/>
          <w:szCs w:val="22"/>
          <w:lang w:val="es-MX"/>
        </w:rPr>
        <w:t>a</w:t>
      </w:r>
      <w:r w:rsidR="00051DD1">
        <w:rPr>
          <w:rFonts w:ascii="Museo Sans 300" w:hAnsi="Museo Sans 300"/>
          <w:sz w:val="22"/>
          <w:szCs w:val="22"/>
          <w:lang w:val="es-MX"/>
        </w:rPr>
        <w:t>lente a 16.4% del total,</w:t>
      </w:r>
      <w:r w:rsidR="00B914BA">
        <w:rPr>
          <w:rFonts w:ascii="Museo Sans 300" w:hAnsi="Museo Sans 300"/>
          <w:sz w:val="22"/>
          <w:szCs w:val="22"/>
          <w:lang w:val="es-MX"/>
        </w:rPr>
        <w:t xml:space="preserve"> </w:t>
      </w:r>
      <w:r w:rsidR="008172C2" w:rsidRPr="00CD1FD1">
        <w:rPr>
          <w:rFonts w:ascii="Museo Sans 300" w:hAnsi="Museo Sans 300"/>
          <w:sz w:val="22"/>
          <w:szCs w:val="22"/>
          <w:lang w:val="es-MX"/>
        </w:rPr>
        <w:t xml:space="preserve"> </w:t>
      </w:r>
      <w:r w:rsidRPr="00CD1FD1">
        <w:rPr>
          <w:rFonts w:ascii="Museo Sans 300" w:hAnsi="Museo Sans 300"/>
          <w:sz w:val="22"/>
          <w:szCs w:val="22"/>
          <w:lang w:val="es-MX"/>
        </w:rPr>
        <w:t>entre otros.</w:t>
      </w:r>
      <w:r w:rsidR="00D912E4" w:rsidRPr="00CD1FD1">
        <w:rPr>
          <w:rFonts w:ascii="Museo Sans 300" w:hAnsi="Museo Sans 300"/>
          <w:sz w:val="22"/>
          <w:szCs w:val="22"/>
          <w:lang w:val="es-MX"/>
        </w:rPr>
        <w:t xml:space="preserve"> </w:t>
      </w:r>
    </w:p>
    <w:p w14:paraId="4E84D53E" w14:textId="77777777" w:rsidR="009F0A52" w:rsidRPr="00CD1FD1" w:rsidRDefault="009F0A52" w:rsidP="00231F0C">
      <w:pPr>
        <w:jc w:val="both"/>
        <w:rPr>
          <w:rFonts w:ascii="Museo Sans 300" w:hAnsi="Museo Sans 300"/>
          <w:sz w:val="22"/>
          <w:szCs w:val="22"/>
          <w:lang w:val="es-MX"/>
        </w:rPr>
      </w:pPr>
    </w:p>
    <w:p w14:paraId="58F588F5" w14:textId="77777777" w:rsidR="00746985" w:rsidRPr="00CD1FD1" w:rsidRDefault="00746985" w:rsidP="00231F0C">
      <w:pPr>
        <w:jc w:val="center"/>
        <w:rPr>
          <w:rFonts w:ascii="Museo Sans 300" w:hAnsi="Museo Sans 300"/>
          <w:b/>
          <w:color w:val="FF0000"/>
          <w:sz w:val="22"/>
          <w:szCs w:val="22"/>
          <w:lang w:val="es-MX"/>
        </w:rPr>
      </w:pPr>
      <w:r w:rsidRPr="00CD1FD1">
        <w:rPr>
          <w:rFonts w:ascii="Museo Sans 300" w:hAnsi="Museo Sans 300"/>
          <w:b/>
          <w:sz w:val="22"/>
          <w:szCs w:val="22"/>
          <w:lang w:val="es-MX"/>
        </w:rPr>
        <w:t xml:space="preserve">Tabla </w:t>
      </w:r>
      <w:r w:rsidR="006B57E8" w:rsidRPr="00CD1FD1">
        <w:rPr>
          <w:rFonts w:ascii="Museo Sans 300" w:hAnsi="Museo Sans 300"/>
          <w:b/>
          <w:sz w:val="22"/>
          <w:szCs w:val="22"/>
          <w:lang w:val="es-MX"/>
        </w:rPr>
        <w:t>4</w:t>
      </w:r>
      <w:r w:rsidRPr="00CD1FD1">
        <w:rPr>
          <w:rFonts w:ascii="Museo Sans 300" w:hAnsi="Museo Sans 300"/>
          <w:b/>
          <w:sz w:val="22"/>
          <w:szCs w:val="22"/>
          <w:lang w:val="es-MX"/>
        </w:rPr>
        <w:t xml:space="preserve">: Inversión </w:t>
      </w:r>
      <w:r w:rsidR="00E6182C" w:rsidRPr="00CD1FD1">
        <w:rPr>
          <w:rFonts w:ascii="Museo Sans 300" w:hAnsi="Museo Sans 300"/>
          <w:b/>
          <w:sz w:val="22"/>
          <w:szCs w:val="22"/>
          <w:lang w:val="es-MX"/>
        </w:rPr>
        <w:t>P</w:t>
      </w:r>
      <w:r w:rsidRPr="00CD1FD1">
        <w:rPr>
          <w:rFonts w:ascii="Museo Sans 300" w:hAnsi="Museo Sans 300"/>
          <w:b/>
          <w:sz w:val="22"/>
          <w:szCs w:val="22"/>
          <w:lang w:val="es-MX"/>
        </w:rPr>
        <w:t xml:space="preserve">ública por </w:t>
      </w:r>
      <w:r w:rsidR="00E6182C" w:rsidRPr="00CD1FD1">
        <w:rPr>
          <w:rFonts w:ascii="Museo Sans 300" w:hAnsi="Museo Sans 300"/>
          <w:b/>
          <w:sz w:val="22"/>
          <w:szCs w:val="22"/>
          <w:lang w:val="es-MX"/>
        </w:rPr>
        <w:t>S</w:t>
      </w:r>
      <w:r w:rsidRPr="00CD1FD1">
        <w:rPr>
          <w:rFonts w:ascii="Museo Sans 300" w:hAnsi="Museo Sans 300"/>
          <w:b/>
          <w:sz w:val="22"/>
          <w:szCs w:val="22"/>
          <w:lang w:val="es-MX"/>
        </w:rPr>
        <w:t xml:space="preserve">ectores de </w:t>
      </w:r>
      <w:r w:rsidR="00E6182C" w:rsidRPr="00CD1FD1">
        <w:rPr>
          <w:rFonts w:ascii="Museo Sans 300" w:hAnsi="Museo Sans 300"/>
          <w:b/>
          <w:sz w:val="22"/>
          <w:szCs w:val="22"/>
          <w:lang w:val="es-MX"/>
        </w:rPr>
        <w:t>A</w:t>
      </w:r>
      <w:r w:rsidRPr="00CD1FD1">
        <w:rPr>
          <w:rFonts w:ascii="Museo Sans 300" w:hAnsi="Museo Sans 300"/>
          <w:b/>
          <w:sz w:val="22"/>
          <w:szCs w:val="22"/>
          <w:lang w:val="es-MX"/>
        </w:rPr>
        <w:t xml:space="preserve">ctividad </w:t>
      </w:r>
      <w:r w:rsidR="00355D4B" w:rsidRPr="00CD1FD1">
        <w:rPr>
          <w:rFonts w:ascii="Museo Sans 300" w:hAnsi="Museo Sans 300"/>
          <w:b/>
          <w:sz w:val="22"/>
          <w:szCs w:val="22"/>
          <w:lang w:val="es-MX"/>
        </w:rPr>
        <w:t xml:space="preserve">a </w:t>
      </w:r>
      <w:r w:rsidR="00C722FC">
        <w:rPr>
          <w:rFonts w:ascii="Museo Sans 300" w:hAnsi="Museo Sans 300"/>
          <w:b/>
          <w:sz w:val="22"/>
          <w:szCs w:val="22"/>
          <w:lang w:val="es-MX"/>
        </w:rPr>
        <w:t>junio</w:t>
      </w:r>
      <w:r w:rsidR="00355D4B" w:rsidRPr="00CD1FD1">
        <w:rPr>
          <w:rFonts w:ascii="Museo Sans 300" w:hAnsi="Museo Sans 300"/>
          <w:b/>
          <w:sz w:val="22"/>
          <w:szCs w:val="22"/>
          <w:lang w:val="es-MX"/>
        </w:rPr>
        <w:t xml:space="preserve"> 2022</w:t>
      </w:r>
    </w:p>
    <w:p w14:paraId="5E940C3F" w14:textId="77777777" w:rsidR="00746985" w:rsidRPr="00CD1FD1" w:rsidRDefault="00746985" w:rsidP="00231F0C">
      <w:pPr>
        <w:jc w:val="center"/>
        <w:rPr>
          <w:rFonts w:ascii="Museo Sans 300" w:hAnsi="Museo Sans 300"/>
          <w:b/>
          <w:sz w:val="22"/>
          <w:szCs w:val="22"/>
          <w:lang w:val="es-MX"/>
        </w:rPr>
      </w:pPr>
      <w:r w:rsidRPr="00CD1FD1">
        <w:rPr>
          <w:rFonts w:ascii="Museo Sans 300" w:hAnsi="Museo Sans 300"/>
          <w:b/>
          <w:sz w:val="22"/>
          <w:szCs w:val="22"/>
          <w:lang w:val="es-MX"/>
        </w:rPr>
        <w:t>(En millones de $ y % de Participación)</w:t>
      </w:r>
    </w:p>
    <w:p w14:paraId="70A6C6A4" w14:textId="77777777" w:rsidR="005327AE" w:rsidRPr="00CD1FD1" w:rsidRDefault="005327AE" w:rsidP="00746985">
      <w:pPr>
        <w:jc w:val="center"/>
        <w:rPr>
          <w:rFonts w:ascii="Museo Sans 300" w:hAnsi="Museo Sans 300"/>
          <w:b/>
          <w:sz w:val="22"/>
          <w:szCs w:val="22"/>
          <w:lang w:val="es-MX"/>
        </w:rPr>
      </w:pPr>
    </w:p>
    <w:p w14:paraId="491F8826" w14:textId="77777777" w:rsidR="007D580D" w:rsidRPr="00CD1FD1" w:rsidRDefault="009F0A52" w:rsidP="00746985">
      <w:pPr>
        <w:jc w:val="center"/>
        <w:rPr>
          <w:rFonts w:ascii="Museo Sans 300" w:hAnsi="Museo Sans 300"/>
          <w:sz w:val="22"/>
          <w:szCs w:val="22"/>
          <w:lang w:val="es-MX"/>
        </w:rPr>
      </w:pPr>
      <w:r w:rsidRPr="009F0A52">
        <w:rPr>
          <w:noProof/>
        </w:rPr>
        <w:drawing>
          <wp:inline distT="0" distB="0" distL="0" distR="0" wp14:anchorId="7FC3611B" wp14:editId="0571512F">
            <wp:extent cx="5731510" cy="4874260"/>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874260"/>
                    </a:xfrm>
                    <a:prstGeom prst="rect">
                      <a:avLst/>
                    </a:prstGeom>
                    <a:noFill/>
                    <a:ln>
                      <a:noFill/>
                    </a:ln>
                  </pic:spPr>
                </pic:pic>
              </a:graphicData>
            </a:graphic>
          </wp:inline>
        </w:drawing>
      </w:r>
    </w:p>
    <w:p w14:paraId="59B6FC56" w14:textId="77777777" w:rsidR="00746985" w:rsidRPr="00CD1FD1" w:rsidRDefault="00746985" w:rsidP="00746985">
      <w:pPr>
        <w:jc w:val="center"/>
        <w:rPr>
          <w:rFonts w:ascii="Museo Sans 300" w:hAnsi="Museo Sans 300"/>
          <w:sz w:val="22"/>
          <w:szCs w:val="22"/>
          <w:lang w:val="es-MX"/>
        </w:rPr>
      </w:pPr>
    </w:p>
    <w:p w14:paraId="5BFB439C" w14:textId="77777777" w:rsidR="00886FAC" w:rsidRPr="00CD1FD1" w:rsidRDefault="00886FAC" w:rsidP="00886FAC">
      <w:pPr>
        <w:jc w:val="both"/>
        <w:rPr>
          <w:rFonts w:ascii="Museo Sans 300" w:hAnsi="Museo Sans 300"/>
          <w:sz w:val="22"/>
          <w:szCs w:val="22"/>
          <w:lang w:val="es-MX"/>
        </w:rPr>
      </w:pPr>
      <w:bookmarkStart w:id="47" w:name="_Toc308681668"/>
      <w:r w:rsidRPr="00CD1FD1">
        <w:rPr>
          <w:rFonts w:ascii="Museo Sans 300" w:hAnsi="Museo Sans 300"/>
          <w:sz w:val="22"/>
          <w:szCs w:val="22"/>
          <w:lang w:val="es-MX"/>
        </w:rPr>
        <w:t xml:space="preserve">Entre los programas y proyectos con mayores avances al mes de </w:t>
      </w:r>
      <w:r w:rsidR="00C722FC">
        <w:rPr>
          <w:rFonts w:ascii="Museo Sans 300" w:hAnsi="Museo Sans 300"/>
          <w:sz w:val="22"/>
          <w:szCs w:val="22"/>
          <w:lang w:val="es-MX"/>
        </w:rPr>
        <w:t>junio</w:t>
      </w:r>
      <w:r w:rsidRPr="00CD1FD1">
        <w:rPr>
          <w:rFonts w:ascii="Museo Sans 300" w:hAnsi="Museo Sans 300"/>
          <w:sz w:val="22"/>
          <w:szCs w:val="22"/>
          <w:lang w:val="es-MX"/>
        </w:rPr>
        <w:t xml:space="preserve"> 202</w:t>
      </w:r>
      <w:r w:rsidR="00533421" w:rsidRPr="00CD1FD1">
        <w:rPr>
          <w:rFonts w:ascii="Museo Sans 300" w:hAnsi="Museo Sans 300"/>
          <w:sz w:val="22"/>
          <w:szCs w:val="22"/>
          <w:lang w:val="es-MX"/>
        </w:rPr>
        <w:t>2</w:t>
      </w:r>
      <w:r w:rsidRPr="00CD1FD1">
        <w:rPr>
          <w:rFonts w:ascii="Museo Sans 300" w:hAnsi="Museo Sans 300"/>
          <w:sz w:val="22"/>
          <w:szCs w:val="22"/>
          <w:lang w:val="es-MX"/>
        </w:rPr>
        <w:t xml:space="preserve"> se destacan los siguientes:</w:t>
      </w:r>
    </w:p>
    <w:p w14:paraId="515DA5BE" w14:textId="77777777" w:rsidR="00886FAC" w:rsidRPr="008A6373" w:rsidRDefault="00886FAC" w:rsidP="00886FAC">
      <w:pPr>
        <w:jc w:val="both"/>
        <w:rPr>
          <w:rFonts w:ascii="Museo Sans 300" w:hAnsi="Museo Sans 300"/>
          <w:sz w:val="22"/>
          <w:szCs w:val="22"/>
          <w:highlight w:val="yellow"/>
          <w:lang w:val="es-MX"/>
        </w:rPr>
      </w:pPr>
    </w:p>
    <w:p w14:paraId="10AC3D59" w14:textId="77777777" w:rsidR="00533421" w:rsidRPr="008A6373" w:rsidRDefault="00533421" w:rsidP="00533421">
      <w:pPr>
        <w:jc w:val="both"/>
        <w:rPr>
          <w:rFonts w:ascii="Museo Sans 300" w:hAnsi="Museo Sans 300"/>
          <w:sz w:val="22"/>
          <w:szCs w:val="22"/>
          <w:lang w:val="es-MX"/>
        </w:rPr>
      </w:pPr>
      <w:r w:rsidRPr="008A6373">
        <w:rPr>
          <w:rFonts w:ascii="Museo Sans 300" w:hAnsi="Museo Sans 300"/>
          <w:sz w:val="22"/>
          <w:szCs w:val="22"/>
          <w:lang w:val="es-MX"/>
        </w:rPr>
        <w:t>CEL:</w:t>
      </w:r>
      <w:r w:rsidR="00EF0392" w:rsidRPr="008A6373">
        <w:rPr>
          <w:rFonts w:ascii="Museo Sans 300" w:hAnsi="Museo Sans 300"/>
          <w:b/>
          <w:sz w:val="22"/>
          <w:szCs w:val="22"/>
          <w:lang w:val="es-MX"/>
        </w:rPr>
        <w:t xml:space="preserve"> </w:t>
      </w:r>
      <w:r w:rsidR="00EF0392" w:rsidRPr="008A6373">
        <w:rPr>
          <w:rFonts w:ascii="Museo Sans 300" w:hAnsi="Museo Sans 300"/>
          <w:sz w:val="22"/>
          <w:szCs w:val="22"/>
          <w:lang w:val="es-MX"/>
        </w:rPr>
        <w:t xml:space="preserve">Central Hidroeléctrica 3 de </w:t>
      </w:r>
      <w:r w:rsidR="00B914BA">
        <w:rPr>
          <w:rFonts w:ascii="Museo Sans 300" w:hAnsi="Museo Sans 300"/>
          <w:sz w:val="22"/>
          <w:szCs w:val="22"/>
          <w:lang w:val="es-MX"/>
        </w:rPr>
        <w:t>f</w:t>
      </w:r>
      <w:r w:rsidR="00EF0392" w:rsidRPr="008A6373">
        <w:rPr>
          <w:rFonts w:ascii="Museo Sans 300" w:hAnsi="Museo Sans 300"/>
          <w:sz w:val="22"/>
          <w:szCs w:val="22"/>
          <w:lang w:val="es-MX"/>
        </w:rPr>
        <w:t>ebrero</w:t>
      </w:r>
      <w:r w:rsidR="00B914BA">
        <w:rPr>
          <w:rFonts w:ascii="Museo Sans 300" w:hAnsi="Museo Sans 300"/>
          <w:sz w:val="22"/>
          <w:szCs w:val="22"/>
          <w:lang w:val="es-MX"/>
        </w:rPr>
        <w:t>.</w:t>
      </w:r>
      <w:r w:rsidR="00EF0392" w:rsidRPr="008A6373">
        <w:rPr>
          <w:rFonts w:ascii="Museo Sans 300" w:hAnsi="Museo Sans 300"/>
          <w:sz w:val="22"/>
          <w:szCs w:val="22"/>
          <w:lang w:val="es-MX"/>
        </w:rPr>
        <w:t xml:space="preserve"> </w:t>
      </w:r>
    </w:p>
    <w:p w14:paraId="3ABA3236" w14:textId="77777777" w:rsidR="00533421" w:rsidRPr="00CD1FD1" w:rsidRDefault="00533421" w:rsidP="00533421">
      <w:pPr>
        <w:jc w:val="both"/>
        <w:rPr>
          <w:rFonts w:ascii="Museo Sans 300" w:hAnsi="Museo Sans 300"/>
          <w:sz w:val="22"/>
          <w:szCs w:val="22"/>
          <w:lang w:val="es-MX"/>
        </w:rPr>
      </w:pPr>
    </w:p>
    <w:p w14:paraId="142501E9" w14:textId="77777777" w:rsidR="00533421" w:rsidRPr="00CD1FD1" w:rsidRDefault="00533421" w:rsidP="00533421">
      <w:pPr>
        <w:jc w:val="both"/>
        <w:rPr>
          <w:rFonts w:ascii="Museo Sans 300" w:hAnsi="Museo Sans 300"/>
          <w:sz w:val="22"/>
          <w:szCs w:val="22"/>
          <w:lang w:val="es-MX"/>
        </w:rPr>
      </w:pPr>
      <w:r w:rsidRPr="00CD1FD1">
        <w:rPr>
          <w:rFonts w:ascii="Museo Sans 300" w:hAnsi="Museo Sans 300"/>
          <w:sz w:val="22"/>
          <w:szCs w:val="22"/>
          <w:lang w:val="es-MX"/>
        </w:rPr>
        <w:t>CEPA: Ampliación del Patio de Contenedores del Puerto de Acajutla, Etapa II, Ampliación de Terminal de Pasajeros del Aeropuerto Internacional de El Salvador, Monseñor Oscar Arnulfo Romero y Galdámez.</w:t>
      </w:r>
    </w:p>
    <w:p w14:paraId="6AC6F546" w14:textId="77777777" w:rsidR="00533421" w:rsidRPr="00CD1FD1" w:rsidRDefault="00533421" w:rsidP="00B914BA">
      <w:pPr>
        <w:pStyle w:val="Textoindependiente2"/>
        <w:tabs>
          <w:tab w:val="center" w:pos="4717"/>
        </w:tabs>
        <w:spacing w:after="0" w:line="240" w:lineRule="auto"/>
        <w:ind w:right="-32"/>
        <w:jc w:val="both"/>
        <w:rPr>
          <w:rFonts w:ascii="Museo Sans 300" w:hAnsi="Museo Sans 300"/>
          <w:sz w:val="22"/>
          <w:szCs w:val="22"/>
          <w:lang w:val="es-MX"/>
        </w:rPr>
      </w:pPr>
      <w:r w:rsidRPr="00CD1FD1">
        <w:rPr>
          <w:rFonts w:ascii="Museo Sans 300" w:hAnsi="Museo Sans 300"/>
          <w:sz w:val="22"/>
          <w:szCs w:val="22"/>
          <w:lang w:val="es-MX"/>
        </w:rPr>
        <w:t xml:space="preserve"> </w:t>
      </w:r>
    </w:p>
    <w:p w14:paraId="6DBC7005" w14:textId="77777777" w:rsidR="00533421" w:rsidRPr="00CD1FD1" w:rsidRDefault="00533421" w:rsidP="00533421">
      <w:pPr>
        <w:jc w:val="both"/>
        <w:rPr>
          <w:rFonts w:ascii="Museo Sans 300" w:hAnsi="Museo Sans 300"/>
          <w:sz w:val="22"/>
          <w:szCs w:val="22"/>
          <w:lang w:val="es-MX"/>
        </w:rPr>
      </w:pPr>
      <w:r w:rsidRPr="00CD1FD1">
        <w:rPr>
          <w:rFonts w:ascii="Museo Sans 300" w:hAnsi="Museo Sans 300"/>
          <w:sz w:val="22"/>
          <w:szCs w:val="22"/>
          <w:lang w:val="es-MX"/>
        </w:rPr>
        <w:lastRenderedPageBreak/>
        <w:t>MINSAL: Programa de Respuesta de El Salvador ante el COVID-19, Programa Integrado de Salud II</w:t>
      </w:r>
      <w:r w:rsidR="00036F93">
        <w:rPr>
          <w:rFonts w:ascii="Museo Sans 300" w:hAnsi="Museo Sans 300"/>
          <w:sz w:val="22"/>
          <w:szCs w:val="22"/>
          <w:lang w:val="es-MX"/>
        </w:rPr>
        <w:t>;</w:t>
      </w:r>
      <w:r w:rsidRPr="00CD1FD1">
        <w:rPr>
          <w:rFonts w:ascii="Museo Sans 300" w:hAnsi="Museo Sans 300"/>
          <w:sz w:val="22"/>
          <w:szCs w:val="22"/>
          <w:lang w:val="es-MX"/>
        </w:rPr>
        <w:t xml:space="preserve"> Mejoramiento de Infraestructura y equipamiento de Unidades de Salud de Primer Nivel, a nivel nacional</w:t>
      </w:r>
      <w:r w:rsidR="00340B9B" w:rsidRPr="00CD1FD1">
        <w:rPr>
          <w:rFonts w:ascii="Museo Sans 300" w:hAnsi="Museo Sans 300"/>
          <w:sz w:val="22"/>
          <w:szCs w:val="22"/>
          <w:lang w:val="es-MX"/>
        </w:rPr>
        <w:t>; Mejoramiento de infraestructura y equipamiento de la Red Nacional de Hospitales</w:t>
      </w:r>
      <w:r w:rsidRPr="00CD1FD1">
        <w:rPr>
          <w:rFonts w:ascii="Museo Sans 300" w:hAnsi="Museo Sans 300"/>
          <w:sz w:val="22"/>
          <w:szCs w:val="22"/>
          <w:lang w:val="es-MX"/>
        </w:rPr>
        <w:t>.</w:t>
      </w:r>
    </w:p>
    <w:p w14:paraId="712257BD" w14:textId="77777777" w:rsidR="00B914BA" w:rsidRDefault="00B914BA" w:rsidP="00533421">
      <w:pPr>
        <w:jc w:val="both"/>
        <w:rPr>
          <w:rFonts w:ascii="Museo Sans 300" w:hAnsi="Museo Sans 300"/>
          <w:sz w:val="22"/>
          <w:szCs w:val="22"/>
          <w:lang w:val="es-MX"/>
        </w:rPr>
      </w:pPr>
    </w:p>
    <w:p w14:paraId="4D8CEB77" w14:textId="77777777" w:rsidR="00533421" w:rsidRPr="00CD1FD1" w:rsidRDefault="00533421" w:rsidP="00533421">
      <w:pPr>
        <w:jc w:val="both"/>
        <w:rPr>
          <w:rFonts w:ascii="Museo Sans 300" w:hAnsi="Museo Sans 300"/>
          <w:sz w:val="22"/>
          <w:szCs w:val="22"/>
          <w:lang w:val="es-MX"/>
        </w:rPr>
      </w:pPr>
      <w:r w:rsidRPr="00CD1FD1">
        <w:rPr>
          <w:rFonts w:ascii="Museo Sans 300" w:hAnsi="Museo Sans 300"/>
          <w:sz w:val="22"/>
          <w:szCs w:val="22"/>
          <w:lang w:val="es-MX"/>
        </w:rPr>
        <w:t xml:space="preserve">ANDA: Rehabilitación de las Obras de captación, potabilización y electromecánicas de la planta potabilizadora Las Pavas, Municipio de San Pablo Tacachico, Departamento de La Libertad, Programa de mejora de infraestructura y servicios, para optimizar el suministro de agua potable, a nivel nacional. </w:t>
      </w:r>
    </w:p>
    <w:p w14:paraId="32320D2C" w14:textId="77777777" w:rsidR="00B914BA" w:rsidRDefault="00B914BA" w:rsidP="00533421">
      <w:pPr>
        <w:jc w:val="both"/>
        <w:rPr>
          <w:rFonts w:ascii="Museo Sans 300" w:hAnsi="Museo Sans 300" w:cs="Arial"/>
          <w:b/>
          <w:i/>
          <w:iCs/>
          <w:sz w:val="22"/>
          <w:szCs w:val="22"/>
          <w:lang w:val="es-MX"/>
        </w:rPr>
      </w:pPr>
    </w:p>
    <w:p w14:paraId="45301BC3" w14:textId="77777777" w:rsidR="00533421" w:rsidRPr="00B914BA" w:rsidRDefault="00B914BA" w:rsidP="00533421">
      <w:pPr>
        <w:jc w:val="both"/>
        <w:rPr>
          <w:rFonts w:ascii="Museo Sans 300" w:hAnsi="Museo Sans 300"/>
          <w:sz w:val="22"/>
          <w:szCs w:val="22"/>
          <w:lang w:val="es-MX"/>
        </w:rPr>
      </w:pPr>
      <w:r w:rsidRPr="00B914BA">
        <w:rPr>
          <w:rFonts w:ascii="Museo Sans 300" w:hAnsi="Museo Sans 300"/>
          <w:sz w:val="22"/>
          <w:szCs w:val="22"/>
          <w:lang w:val="es-MX"/>
        </w:rPr>
        <w:t>MINEDUCYT: Programa de mejoramiento de ambientes educativos para la formación integral y aprendizajes, a nivel nacional, Programa de equipamiento y capacitación docente en tecnología e innovación al servicio de los aprendizajes, a nivel nacional. Programa de Reducción de Brecha Digital en Centros Escolares de El Salvador, Programa de Becas FANTEL a nivel nacional, para realizar estudios de Educación Superior.</w:t>
      </w:r>
    </w:p>
    <w:p w14:paraId="61A5EC51" w14:textId="77777777" w:rsidR="00B914BA" w:rsidRDefault="00B914BA" w:rsidP="00533421">
      <w:pPr>
        <w:jc w:val="both"/>
        <w:rPr>
          <w:rFonts w:ascii="Museo Sans 300" w:hAnsi="Museo Sans 300"/>
          <w:sz w:val="22"/>
          <w:szCs w:val="22"/>
          <w:lang w:val="es-MX"/>
        </w:rPr>
      </w:pPr>
    </w:p>
    <w:p w14:paraId="3567CF85" w14:textId="77777777" w:rsidR="00B914BA" w:rsidRPr="00B914BA" w:rsidRDefault="00B914BA" w:rsidP="00B914BA">
      <w:pPr>
        <w:pStyle w:val="Textoindependiente2"/>
        <w:spacing w:after="0" w:line="240" w:lineRule="auto"/>
        <w:ind w:right="-32"/>
        <w:jc w:val="both"/>
        <w:rPr>
          <w:rFonts w:ascii="Museo Sans 300" w:hAnsi="Museo Sans 300"/>
          <w:sz w:val="22"/>
          <w:szCs w:val="22"/>
          <w:lang w:val="es-MX"/>
        </w:rPr>
      </w:pPr>
      <w:r w:rsidRPr="00B914BA">
        <w:rPr>
          <w:rFonts w:ascii="Museo Sans 300" w:hAnsi="Museo Sans 300"/>
          <w:sz w:val="22"/>
          <w:szCs w:val="22"/>
          <w:lang w:val="es-MX"/>
        </w:rPr>
        <w:t xml:space="preserve">MOPT: Construcción de </w:t>
      </w:r>
      <w:proofErr w:type="spellStart"/>
      <w:r w:rsidRPr="00B914BA">
        <w:rPr>
          <w:rFonts w:ascii="Museo Sans 300" w:hAnsi="Museo Sans 300"/>
          <w:sz w:val="22"/>
          <w:szCs w:val="22"/>
          <w:lang w:val="es-MX"/>
        </w:rPr>
        <w:t>By</w:t>
      </w:r>
      <w:proofErr w:type="spellEnd"/>
      <w:r w:rsidRPr="00B914BA">
        <w:rPr>
          <w:rFonts w:ascii="Museo Sans 300" w:hAnsi="Museo Sans 300"/>
          <w:sz w:val="22"/>
          <w:szCs w:val="22"/>
          <w:lang w:val="es-MX"/>
        </w:rPr>
        <w:t xml:space="preserve"> Pass en la Ciudad de San Miguel, Modernización integral del Puesto Fronterizo de </w:t>
      </w:r>
      <w:proofErr w:type="spellStart"/>
      <w:r w:rsidRPr="00B914BA">
        <w:rPr>
          <w:rFonts w:ascii="Museo Sans 300" w:hAnsi="Museo Sans 300"/>
          <w:sz w:val="22"/>
          <w:szCs w:val="22"/>
          <w:lang w:val="es-MX"/>
        </w:rPr>
        <w:t>Anguiatú</w:t>
      </w:r>
      <w:proofErr w:type="spellEnd"/>
      <w:r w:rsidRPr="00B914BA">
        <w:rPr>
          <w:rFonts w:ascii="Museo Sans 300" w:hAnsi="Museo Sans 300"/>
          <w:sz w:val="22"/>
          <w:szCs w:val="22"/>
          <w:lang w:val="es-MX"/>
        </w:rPr>
        <w:t>, Municipio de Metapán, Departamento de Santa Ana. (MOPT-FGEN), Reconstrucción de descarga de aguas lluvias del sistema denominado: Valle Nuevo, Comunidad Belén, Municipio de Ilopango, Departamento de San Salvador</w:t>
      </w:r>
      <w:r>
        <w:rPr>
          <w:rFonts w:ascii="Museo Sans 300" w:hAnsi="Museo Sans 300"/>
          <w:sz w:val="22"/>
          <w:szCs w:val="22"/>
          <w:lang w:val="es-MX"/>
        </w:rPr>
        <w:t>.</w:t>
      </w:r>
      <w:r w:rsidRPr="00B914BA">
        <w:rPr>
          <w:rFonts w:ascii="Museo Sans 300" w:hAnsi="Museo Sans 300"/>
          <w:sz w:val="22"/>
          <w:szCs w:val="22"/>
          <w:lang w:val="es-MX"/>
        </w:rPr>
        <w:t xml:space="preserve"> </w:t>
      </w:r>
    </w:p>
    <w:p w14:paraId="6A90F0F7" w14:textId="77777777" w:rsidR="00DA1707" w:rsidRPr="00197782" w:rsidRDefault="00DA1707" w:rsidP="00533421">
      <w:pPr>
        <w:jc w:val="both"/>
        <w:rPr>
          <w:rFonts w:ascii="Museo Sans 300" w:hAnsi="Museo Sans 300"/>
          <w:sz w:val="16"/>
          <w:szCs w:val="16"/>
          <w:lang w:val="es-MX"/>
        </w:rPr>
      </w:pPr>
    </w:p>
    <w:p w14:paraId="557910CA" w14:textId="77777777" w:rsidR="00533421" w:rsidRDefault="00533421" w:rsidP="00533421">
      <w:pPr>
        <w:pStyle w:val="Textoindependiente2"/>
        <w:spacing w:after="0" w:line="240" w:lineRule="auto"/>
        <w:ind w:right="-32"/>
        <w:jc w:val="both"/>
        <w:rPr>
          <w:rFonts w:ascii="Museo Sans 300" w:hAnsi="Museo Sans 300"/>
          <w:sz w:val="16"/>
          <w:szCs w:val="16"/>
          <w:lang w:val="es-SV"/>
        </w:rPr>
      </w:pPr>
    </w:p>
    <w:p w14:paraId="20860627" w14:textId="77777777" w:rsidR="006576D7" w:rsidRDefault="006576D7" w:rsidP="00533421">
      <w:pPr>
        <w:pStyle w:val="Textoindependiente2"/>
        <w:spacing w:after="0" w:line="240" w:lineRule="auto"/>
        <w:ind w:right="-32"/>
        <w:jc w:val="both"/>
        <w:rPr>
          <w:rFonts w:ascii="Museo Sans 300" w:hAnsi="Museo Sans 300"/>
          <w:sz w:val="16"/>
          <w:szCs w:val="16"/>
          <w:lang w:val="es-SV"/>
        </w:rPr>
      </w:pPr>
    </w:p>
    <w:p w14:paraId="50A6C7CE" w14:textId="77777777" w:rsidR="006576D7" w:rsidRPr="0012688D" w:rsidRDefault="006576D7" w:rsidP="00533421">
      <w:pPr>
        <w:pStyle w:val="Textoindependiente2"/>
        <w:spacing w:after="0" w:line="240" w:lineRule="auto"/>
        <w:ind w:right="-32"/>
        <w:jc w:val="both"/>
        <w:rPr>
          <w:rFonts w:ascii="Museo Sans 300" w:hAnsi="Museo Sans 300"/>
          <w:sz w:val="16"/>
          <w:szCs w:val="16"/>
          <w:lang w:val="es-SV"/>
        </w:rPr>
      </w:pPr>
    </w:p>
    <w:p w14:paraId="294C082C" w14:textId="77777777" w:rsidR="00121393" w:rsidRPr="00CD1FD1" w:rsidRDefault="00AA7D08" w:rsidP="00033BDB">
      <w:pPr>
        <w:pStyle w:val="Ttulo3"/>
        <w:rPr>
          <w:rFonts w:ascii="Museo Sans 300" w:hAnsi="Museo Sans 300"/>
          <w:b/>
          <w:sz w:val="22"/>
          <w:szCs w:val="22"/>
          <w:lang w:val="es-MX"/>
        </w:rPr>
      </w:pPr>
      <w:bookmarkStart w:id="48" w:name="_Toc505951457"/>
      <w:bookmarkStart w:id="49" w:name="_Toc56581213"/>
      <w:bookmarkStart w:id="50" w:name="_Toc116389139"/>
      <w:r w:rsidRPr="00CD1FD1">
        <w:rPr>
          <w:rFonts w:ascii="Museo Sans 300" w:hAnsi="Museo Sans 300"/>
          <w:b/>
          <w:sz w:val="22"/>
          <w:szCs w:val="22"/>
          <w:lang w:val="es-MX"/>
        </w:rPr>
        <w:t>3</w:t>
      </w:r>
      <w:r w:rsidR="009B117C" w:rsidRPr="00CD1FD1">
        <w:rPr>
          <w:rFonts w:ascii="Museo Sans 300" w:hAnsi="Museo Sans 300"/>
          <w:b/>
          <w:sz w:val="22"/>
          <w:szCs w:val="22"/>
          <w:lang w:val="es-MX"/>
        </w:rPr>
        <w:t xml:space="preserve">. </w:t>
      </w:r>
      <w:r w:rsidR="00442DE5" w:rsidRPr="00CD1FD1">
        <w:rPr>
          <w:rFonts w:ascii="Museo Sans 300" w:hAnsi="Museo Sans 300"/>
          <w:b/>
          <w:sz w:val="22"/>
          <w:szCs w:val="22"/>
          <w:lang w:val="es-MX"/>
        </w:rPr>
        <w:t>Deuda del SPNF</w:t>
      </w:r>
      <w:bookmarkEnd w:id="48"/>
      <w:bookmarkEnd w:id="49"/>
      <w:bookmarkEnd w:id="50"/>
      <w:r w:rsidR="00121393" w:rsidRPr="00CD1FD1">
        <w:rPr>
          <w:rFonts w:ascii="Museo Sans 300" w:hAnsi="Museo Sans 300"/>
          <w:b/>
          <w:sz w:val="22"/>
          <w:szCs w:val="22"/>
          <w:lang w:val="es-MX"/>
        </w:rPr>
        <w:t xml:space="preserve"> </w:t>
      </w:r>
    </w:p>
    <w:p w14:paraId="64E24DC2" w14:textId="77777777" w:rsidR="00442DE5" w:rsidRPr="0012688D" w:rsidRDefault="00442DE5" w:rsidP="00442DE5">
      <w:pPr>
        <w:jc w:val="both"/>
        <w:rPr>
          <w:rFonts w:ascii="Museo Sans 300" w:hAnsi="Museo Sans 300"/>
          <w:sz w:val="16"/>
          <w:szCs w:val="16"/>
          <w:lang w:val="es-MX"/>
        </w:rPr>
      </w:pPr>
    </w:p>
    <w:p w14:paraId="58CDFA25" w14:textId="77777777" w:rsidR="00092055" w:rsidRPr="00CD1FD1" w:rsidRDefault="00092055" w:rsidP="004A685A">
      <w:pPr>
        <w:jc w:val="both"/>
        <w:rPr>
          <w:rFonts w:ascii="Museo Sans 300" w:hAnsi="Museo Sans 300"/>
          <w:sz w:val="22"/>
          <w:szCs w:val="22"/>
          <w:lang w:val="es-MX"/>
        </w:rPr>
      </w:pPr>
      <w:r w:rsidRPr="00D0014B">
        <w:rPr>
          <w:rFonts w:ascii="Museo Sans 300" w:hAnsi="Museo Sans 300"/>
          <w:sz w:val="22"/>
          <w:szCs w:val="22"/>
          <w:lang w:val="es-MX"/>
        </w:rPr>
        <w:t xml:space="preserve">La deuda del SPNF sin incluir pensiones al mes de </w:t>
      </w:r>
      <w:r w:rsidR="00C722FC" w:rsidRPr="00D0014B">
        <w:rPr>
          <w:rFonts w:ascii="Museo Sans 300" w:hAnsi="Museo Sans 300"/>
          <w:sz w:val="22"/>
          <w:szCs w:val="22"/>
          <w:lang w:val="es-MX"/>
        </w:rPr>
        <w:t>junio</w:t>
      </w:r>
      <w:r w:rsidR="0006124F" w:rsidRPr="00D0014B">
        <w:rPr>
          <w:rFonts w:ascii="Museo Sans 300" w:hAnsi="Museo Sans 300"/>
          <w:sz w:val="22"/>
          <w:szCs w:val="22"/>
          <w:lang w:val="es-MX"/>
        </w:rPr>
        <w:t xml:space="preserve"> </w:t>
      </w:r>
      <w:r w:rsidR="00042C94" w:rsidRPr="00D0014B">
        <w:rPr>
          <w:rFonts w:ascii="Museo Sans 300" w:hAnsi="Museo Sans 300"/>
          <w:sz w:val="22"/>
          <w:szCs w:val="22"/>
          <w:lang w:val="es-MX"/>
        </w:rPr>
        <w:t>20</w:t>
      </w:r>
      <w:r w:rsidR="00420EE2" w:rsidRPr="00D0014B">
        <w:rPr>
          <w:rFonts w:ascii="Museo Sans 300" w:hAnsi="Museo Sans 300"/>
          <w:sz w:val="22"/>
          <w:szCs w:val="22"/>
          <w:lang w:val="es-MX"/>
        </w:rPr>
        <w:t>2</w:t>
      </w:r>
      <w:r w:rsidR="002C3B4A" w:rsidRPr="00D0014B">
        <w:rPr>
          <w:rFonts w:ascii="Museo Sans 300" w:hAnsi="Museo Sans 300"/>
          <w:sz w:val="22"/>
          <w:szCs w:val="22"/>
          <w:lang w:val="es-MX"/>
        </w:rPr>
        <w:t>1</w:t>
      </w:r>
      <w:r w:rsidR="0006124F" w:rsidRPr="00D0014B">
        <w:rPr>
          <w:rFonts w:ascii="Museo Sans 300" w:hAnsi="Museo Sans 300"/>
          <w:sz w:val="22"/>
          <w:szCs w:val="22"/>
          <w:lang w:val="es-MX"/>
        </w:rPr>
        <w:t xml:space="preserve"> </w:t>
      </w:r>
      <w:r w:rsidRPr="00D0014B">
        <w:rPr>
          <w:rFonts w:ascii="Museo Sans 300" w:hAnsi="Museo Sans 300"/>
          <w:sz w:val="22"/>
          <w:szCs w:val="22"/>
          <w:lang w:val="es-MX"/>
        </w:rPr>
        <w:t>ascendió a $</w:t>
      </w:r>
      <w:r w:rsidR="00EE128F" w:rsidRPr="00D0014B">
        <w:rPr>
          <w:rFonts w:ascii="Museo Sans 300" w:hAnsi="Museo Sans 300"/>
          <w:sz w:val="22"/>
          <w:szCs w:val="22"/>
          <w:lang w:val="es-MX"/>
        </w:rPr>
        <w:t>1</w:t>
      </w:r>
      <w:r w:rsidR="008758FC" w:rsidRPr="00D0014B">
        <w:rPr>
          <w:rFonts w:ascii="Museo Sans 300" w:hAnsi="Museo Sans 300"/>
          <w:sz w:val="22"/>
          <w:szCs w:val="22"/>
          <w:lang w:val="es-MX"/>
        </w:rPr>
        <w:t>7,</w:t>
      </w:r>
      <w:r w:rsidR="00D0014B" w:rsidRPr="00D0014B">
        <w:rPr>
          <w:rFonts w:ascii="Museo Sans 300" w:hAnsi="Museo Sans 300"/>
          <w:sz w:val="22"/>
          <w:szCs w:val="22"/>
          <w:lang w:val="es-MX"/>
        </w:rPr>
        <w:t>553.7</w:t>
      </w:r>
      <w:r w:rsidRPr="00D0014B">
        <w:rPr>
          <w:rFonts w:ascii="Museo Sans 300" w:hAnsi="Museo Sans 300"/>
          <w:sz w:val="22"/>
          <w:szCs w:val="22"/>
          <w:lang w:val="es-MX"/>
        </w:rPr>
        <w:t xml:space="preserve"> millones, equivalentes a </w:t>
      </w:r>
      <w:r w:rsidR="008758FC" w:rsidRPr="00D0014B">
        <w:rPr>
          <w:rFonts w:ascii="Museo Sans 300" w:hAnsi="Museo Sans 300"/>
          <w:sz w:val="22"/>
          <w:szCs w:val="22"/>
          <w:lang w:val="es-MX"/>
        </w:rPr>
        <w:t>5</w:t>
      </w:r>
      <w:r w:rsidR="00D0014B" w:rsidRPr="00D0014B">
        <w:rPr>
          <w:rFonts w:ascii="Museo Sans 300" w:hAnsi="Museo Sans 300"/>
          <w:sz w:val="22"/>
          <w:szCs w:val="22"/>
          <w:lang w:val="es-MX"/>
        </w:rPr>
        <w:t>7.7</w:t>
      </w:r>
      <w:r w:rsidR="00EE128F" w:rsidRPr="00D0014B">
        <w:rPr>
          <w:rFonts w:ascii="Museo Sans 300" w:hAnsi="Museo Sans 300"/>
          <w:sz w:val="22"/>
          <w:szCs w:val="22"/>
          <w:lang w:val="es-MX"/>
        </w:rPr>
        <w:t>%</w:t>
      </w:r>
      <w:r w:rsidRPr="00D0014B">
        <w:rPr>
          <w:rFonts w:ascii="Museo Sans 300" w:hAnsi="Museo Sans 300"/>
          <w:sz w:val="22"/>
          <w:szCs w:val="22"/>
          <w:lang w:val="es-MX"/>
        </w:rPr>
        <w:t xml:space="preserve"> del PIB. Dicho saldo está compuesto por $</w:t>
      </w:r>
      <w:r w:rsidR="00634117" w:rsidRPr="00D0014B">
        <w:rPr>
          <w:rFonts w:ascii="Museo Sans 300" w:hAnsi="Museo Sans 300"/>
          <w:sz w:val="22"/>
          <w:szCs w:val="22"/>
          <w:lang w:val="es-MX"/>
        </w:rPr>
        <w:t>1</w:t>
      </w:r>
      <w:r w:rsidR="008758FC" w:rsidRPr="00D0014B">
        <w:rPr>
          <w:rFonts w:ascii="Museo Sans 300" w:hAnsi="Museo Sans 300"/>
          <w:sz w:val="22"/>
          <w:szCs w:val="22"/>
          <w:lang w:val="es-MX"/>
        </w:rPr>
        <w:t>1,4</w:t>
      </w:r>
      <w:r w:rsidR="00D0014B" w:rsidRPr="00D0014B">
        <w:rPr>
          <w:rFonts w:ascii="Museo Sans 300" w:hAnsi="Museo Sans 300"/>
          <w:sz w:val="22"/>
          <w:szCs w:val="22"/>
          <w:lang w:val="es-MX"/>
        </w:rPr>
        <w:t>26.7</w:t>
      </w:r>
      <w:r w:rsidR="00600F2E" w:rsidRPr="00D0014B">
        <w:rPr>
          <w:rFonts w:ascii="Museo Sans 300" w:hAnsi="Museo Sans 300"/>
          <w:sz w:val="22"/>
          <w:szCs w:val="22"/>
          <w:lang w:val="es-MX"/>
        </w:rPr>
        <w:t xml:space="preserve"> </w:t>
      </w:r>
      <w:r w:rsidRPr="00D0014B">
        <w:rPr>
          <w:rFonts w:ascii="Museo Sans 300" w:hAnsi="Museo Sans 300"/>
          <w:sz w:val="22"/>
          <w:szCs w:val="22"/>
          <w:lang w:val="es-MX"/>
        </w:rPr>
        <w:t>millones que corresponden</w:t>
      </w:r>
      <w:r w:rsidRPr="00CD1FD1">
        <w:rPr>
          <w:rFonts w:ascii="Museo Sans 300" w:hAnsi="Museo Sans 300"/>
          <w:sz w:val="22"/>
          <w:szCs w:val="22"/>
          <w:lang w:val="es-MX"/>
        </w:rPr>
        <w:t xml:space="preserve"> a deuda externa, equivale</w:t>
      </w:r>
      <w:r w:rsidR="002A147C" w:rsidRPr="00CD1FD1">
        <w:rPr>
          <w:rFonts w:ascii="Museo Sans 300" w:hAnsi="Museo Sans 300"/>
          <w:sz w:val="22"/>
          <w:szCs w:val="22"/>
          <w:lang w:val="es-MX"/>
        </w:rPr>
        <w:t>nte</w:t>
      </w:r>
      <w:r w:rsidRPr="00CD1FD1">
        <w:rPr>
          <w:rFonts w:ascii="Museo Sans 300" w:hAnsi="Museo Sans 300"/>
          <w:sz w:val="22"/>
          <w:szCs w:val="22"/>
          <w:lang w:val="es-MX"/>
        </w:rPr>
        <w:t xml:space="preserve"> a </w:t>
      </w:r>
      <w:r w:rsidR="008758FC" w:rsidRPr="00CD1FD1">
        <w:rPr>
          <w:rFonts w:ascii="Museo Sans 300" w:hAnsi="Museo Sans 300"/>
          <w:sz w:val="22"/>
          <w:szCs w:val="22"/>
          <w:lang w:val="es-MX"/>
        </w:rPr>
        <w:t>37.</w:t>
      </w:r>
      <w:r w:rsidR="00D0014B">
        <w:rPr>
          <w:rFonts w:ascii="Museo Sans 300" w:hAnsi="Museo Sans 300"/>
          <w:sz w:val="22"/>
          <w:szCs w:val="22"/>
          <w:lang w:val="es-MX"/>
        </w:rPr>
        <w:t>6</w:t>
      </w:r>
      <w:r w:rsidRPr="00CD1FD1">
        <w:rPr>
          <w:rFonts w:ascii="Museo Sans 300" w:hAnsi="Museo Sans 300"/>
          <w:sz w:val="22"/>
          <w:szCs w:val="22"/>
          <w:lang w:val="es-MX"/>
        </w:rPr>
        <w:t>% del PIB y $</w:t>
      </w:r>
      <w:r w:rsidR="008758FC" w:rsidRPr="00CD1FD1">
        <w:rPr>
          <w:rFonts w:ascii="Museo Sans 300" w:hAnsi="Museo Sans 300"/>
          <w:sz w:val="22"/>
          <w:szCs w:val="22"/>
          <w:lang w:val="es-MX"/>
        </w:rPr>
        <w:t>6,1</w:t>
      </w:r>
      <w:r w:rsidR="00D0014B">
        <w:rPr>
          <w:rFonts w:ascii="Museo Sans 300" w:hAnsi="Museo Sans 300"/>
          <w:sz w:val="22"/>
          <w:szCs w:val="22"/>
          <w:lang w:val="es-MX"/>
        </w:rPr>
        <w:t>27.0</w:t>
      </w:r>
      <w:r w:rsidRPr="00CD1FD1">
        <w:rPr>
          <w:rFonts w:ascii="Museo Sans 300" w:hAnsi="Museo Sans 300"/>
          <w:sz w:val="22"/>
          <w:szCs w:val="22"/>
          <w:lang w:val="es-MX"/>
        </w:rPr>
        <w:t xml:space="preserve"> millones correspondientes a deuda interna, representando el </w:t>
      </w:r>
      <w:r w:rsidR="00634117" w:rsidRPr="00CD1FD1">
        <w:rPr>
          <w:rFonts w:ascii="Museo Sans 300" w:hAnsi="Museo Sans 300"/>
          <w:sz w:val="22"/>
          <w:szCs w:val="22"/>
          <w:lang w:val="es-MX"/>
        </w:rPr>
        <w:t>2</w:t>
      </w:r>
      <w:r w:rsidR="001E1FEB" w:rsidRPr="00CD1FD1">
        <w:rPr>
          <w:rFonts w:ascii="Museo Sans 300" w:hAnsi="Museo Sans 300"/>
          <w:sz w:val="22"/>
          <w:szCs w:val="22"/>
          <w:lang w:val="es-MX"/>
        </w:rPr>
        <w:t>0.</w:t>
      </w:r>
      <w:r w:rsidR="00D0014B">
        <w:rPr>
          <w:rFonts w:ascii="Museo Sans 300" w:hAnsi="Museo Sans 300"/>
          <w:sz w:val="22"/>
          <w:szCs w:val="22"/>
          <w:lang w:val="es-MX"/>
        </w:rPr>
        <w:t>1</w:t>
      </w:r>
      <w:r w:rsidRPr="00CD1FD1">
        <w:rPr>
          <w:rFonts w:ascii="Museo Sans 300" w:hAnsi="Museo Sans 300"/>
          <w:sz w:val="22"/>
          <w:szCs w:val="22"/>
          <w:lang w:val="es-MX"/>
        </w:rPr>
        <w:t>% del PIB.</w:t>
      </w:r>
    </w:p>
    <w:p w14:paraId="71024224" w14:textId="77777777" w:rsidR="00092055" w:rsidRPr="00CD1FD1" w:rsidRDefault="00092055" w:rsidP="004A685A">
      <w:pPr>
        <w:jc w:val="both"/>
        <w:rPr>
          <w:rFonts w:ascii="Museo Sans 300" w:hAnsi="Museo Sans 300"/>
          <w:sz w:val="22"/>
          <w:szCs w:val="22"/>
          <w:lang w:val="es-MX"/>
        </w:rPr>
      </w:pPr>
    </w:p>
    <w:p w14:paraId="7EB06413" w14:textId="77777777" w:rsidR="00B13B06" w:rsidRPr="00CD1FD1" w:rsidRDefault="006D364F" w:rsidP="004A685A">
      <w:pPr>
        <w:jc w:val="both"/>
        <w:rPr>
          <w:rFonts w:ascii="Museo Sans 300" w:hAnsi="Museo Sans 300"/>
          <w:sz w:val="22"/>
          <w:szCs w:val="22"/>
          <w:lang w:val="es-MX"/>
        </w:rPr>
      </w:pPr>
      <w:r w:rsidRPr="00CD1FD1">
        <w:rPr>
          <w:rFonts w:ascii="Museo Sans 300" w:hAnsi="Museo Sans 300"/>
          <w:sz w:val="22"/>
          <w:szCs w:val="22"/>
          <w:lang w:val="es-MX"/>
        </w:rPr>
        <w:t>Al incluir las emisiones del FOP (CIP serie A), por $</w:t>
      </w:r>
      <w:r w:rsidR="00BF1AE8" w:rsidRPr="00CD1FD1">
        <w:rPr>
          <w:rFonts w:ascii="Museo Sans 300" w:hAnsi="Museo Sans 300"/>
          <w:sz w:val="22"/>
          <w:szCs w:val="22"/>
          <w:lang w:val="es-MX"/>
        </w:rPr>
        <w:t>5</w:t>
      </w:r>
      <w:r w:rsidR="00600F2E" w:rsidRPr="00CD1FD1">
        <w:rPr>
          <w:rFonts w:ascii="Museo Sans 300" w:hAnsi="Museo Sans 300"/>
          <w:sz w:val="22"/>
          <w:szCs w:val="22"/>
          <w:lang w:val="es-MX"/>
        </w:rPr>
        <w:t>,</w:t>
      </w:r>
      <w:r w:rsidR="00D0014B">
        <w:rPr>
          <w:rFonts w:ascii="Museo Sans 300" w:hAnsi="Museo Sans 300"/>
          <w:sz w:val="22"/>
          <w:szCs w:val="22"/>
          <w:lang w:val="es-MX"/>
        </w:rPr>
        <w:t>934.3</w:t>
      </w:r>
      <w:r w:rsidRPr="00CD1FD1">
        <w:rPr>
          <w:rFonts w:ascii="Museo Sans 300" w:hAnsi="Museo Sans 300"/>
          <w:sz w:val="22"/>
          <w:szCs w:val="22"/>
          <w:lang w:val="es-MX"/>
        </w:rPr>
        <w:t xml:space="preserve"> millones, </w:t>
      </w:r>
      <w:r w:rsidR="00092055" w:rsidRPr="00CD1FD1">
        <w:rPr>
          <w:rFonts w:ascii="Museo Sans 300" w:hAnsi="Museo Sans 300"/>
          <w:sz w:val="22"/>
          <w:szCs w:val="22"/>
          <w:lang w:val="es-MX"/>
        </w:rPr>
        <w:t xml:space="preserve">el cual representa un </w:t>
      </w:r>
      <w:r w:rsidR="00C15348" w:rsidRPr="00CD1FD1">
        <w:rPr>
          <w:rFonts w:ascii="Museo Sans 300" w:hAnsi="Museo Sans 300"/>
          <w:sz w:val="22"/>
          <w:szCs w:val="22"/>
          <w:lang w:val="es-MX"/>
        </w:rPr>
        <w:t>19.</w:t>
      </w:r>
      <w:r w:rsidR="00D0014B">
        <w:rPr>
          <w:rFonts w:ascii="Museo Sans 300" w:hAnsi="Museo Sans 300"/>
          <w:sz w:val="22"/>
          <w:szCs w:val="22"/>
          <w:lang w:val="es-MX"/>
        </w:rPr>
        <w:t>5</w:t>
      </w:r>
      <w:r w:rsidR="00092055" w:rsidRPr="00CD1FD1">
        <w:rPr>
          <w:rFonts w:ascii="Museo Sans 300" w:hAnsi="Museo Sans 300"/>
          <w:sz w:val="22"/>
          <w:szCs w:val="22"/>
          <w:lang w:val="es-MX"/>
        </w:rPr>
        <w:t xml:space="preserve">% del PIB, </w:t>
      </w:r>
      <w:r w:rsidRPr="00CD1FD1">
        <w:rPr>
          <w:rFonts w:ascii="Museo Sans 300" w:hAnsi="Museo Sans 300"/>
          <w:sz w:val="22"/>
          <w:szCs w:val="22"/>
          <w:lang w:val="es-MX"/>
        </w:rPr>
        <w:t>la deuda ascendió a $</w:t>
      </w:r>
      <w:r w:rsidR="00BF1AE8" w:rsidRPr="00CD1FD1">
        <w:rPr>
          <w:rFonts w:ascii="Museo Sans 300" w:hAnsi="Museo Sans 300"/>
          <w:sz w:val="22"/>
          <w:szCs w:val="22"/>
          <w:lang w:val="es-MX"/>
        </w:rPr>
        <w:t>2</w:t>
      </w:r>
      <w:r w:rsidR="00C15348" w:rsidRPr="00CD1FD1">
        <w:rPr>
          <w:rFonts w:ascii="Museo Sans 300" w:hAnsi="Museo Sans 300"/>
          <w:sz w:val="22"/>
          <w:szCs w:val="22"/>
          <w:lang w:val="es-MX"/>
        </w:rPr>
        <w:t>3,</w:t>
      </w:r>
      <w:r w:rsidR="00D0014B">
        <w:rPr>
          <w:rFonts w:ascii="Museo Sans 300" w:hAnsi="Museo Sans 300"/>
          <w:sz w:val="22"/>
          <w:szCs w:val="22"/>
          <w:lang w:val="es-MX"/>
        </w:rPr>
        <w:t>488.1</w:t>
      </w:r>
      <w:r w:rsidRPr="00CD1FD1">
        <w:rPr>
          <w:rFonts w:ascii="Museo Sans 300" w:hAnsi="Museo Sans 300"/>
          <w:sz w:val="22"/>
          <w:szCs w:val="22"/>
          <w:lang w:val="es-MX"/>
        </w:rPr>
        <w:t xml:space="preserve"> millones, con un aumento de $</w:t>
      </w:r>
      <w:r w:rsidR="00C15348" w:rsidRPr="00CD1FD1">
        <w:rPr>
          <w:rFonts w:ascii="Museo Sans 300" w:hAnsi="Museo Sans 300"/>
          <w:sz w:val="22"/>
          <w:szCs w:val="22"/>
          <w:lang w:val="es-MX"/>
        </w:rPr>
        <w:t>1,</w:t>
      </w:r>
      <w:r w:rsidR="008A7679">
        <w:rPr>
          <w:rFonts w:ascii="Museo Sans 300" w:hAnsi="Museo Sans 300"/>
          <w:sz w:val="22"/>
          <w:szCs w:val="22"/>
          <w:lang w:val="es-MX"/>
        </w:rPr>
        <w:t>197.0</w:t>
      </w:r>
      <w:r w:rsidRPr="00CD1FD1">
        <w:rPr>
          <w:rFonts w:ascii="Museo Sans 300" w:hAnsi="Museo Sans 300"/>
          <w:sz w:val="22"/>
          <w:szCs w:val="22"/>
          <w:lang w:val="es-MX"/>
        </w:rPr>
        <w:t xml:space="preserve"> millones (</w:t>
      </w:r>
      <w:r w:rsidR="008A7679">
        <w:rPr>
          <w:rFonts w:ascii="Museo Sans 300" w:hAnsi="Museo Sans 300"/>
          <w:sz w:val="22"/>
          <w:szCs w:val="22"/>
          <w:lang w:val="es-MX"/>
        </w:rPr>
        <w:t>5.4</w:t>
      </w:r>
      <w:r w:rsidRPr="00CD1FD1">
        <w:rPr>
          <w:rFonts w:ascii="Museo Sans 300" w:hAnsi="Museo Sans 300"/>
          <w:sz w:val="22"/>
          <w:szCs w:val="22"/>
          <w:lang w:val="es-MX"/>
        </w:rPr>
        <w:t xml:space="preserve">%) respecto al saldo registrado en </w:t>
      </w:r>
      <w:r w:rsidR="00C722FC">
        <w:rPr>
          <w:rFonts w:ascii="Museo Sans 300" w:hAnsi="Museo Sans 300"/>
          <w:sz w:val="22"/>
          <w:szCs w:val="22"/>
          <w:lang w:val="es-MX"/>
        </w:rPr>
        <w:t>junio</w:t>
      </w:r>
      <w:r w:rsidRPr="00CD1FD1">
        <w:rPr>
          <w:rFonts w:ascii="Museo Sans 300" w:hAnsi="Museo Sans 300"/>
          <w:sz w:val="22"/>
          <w:szCs w:val="22"/>
          <w:lang w:val="es-MX"/>
        </w:rPr>
        <w:t xml:space="preserve"> </w:t>
      </w:r>
      <w:r w:rsidR="00581B7E" w:rsidRPr="00CD1FD1">
        <w:rPr>
          <w:rFonts w:ascii="Museo Sans 300" w:hAnsi="Museo Sans 300"/>
          <w:sz w:val="22"/>
          <w:szCs w:val="22"/>
          <w:lang w:val="es-MX"/>
        </w:rPr>
        <w:t>2021</w:t>
      </w:r>
      <w:r w:rsidR="00BE517D" w:rsidRPr="00CD1FD1">
        <w:rPr>
          <w:rFonts w:ascii="Museo Sans 300" w:hAnsi="Museo Sans 300"/>
          <w:sz w:val="22"/>
          <w:szCs w:val="22"/>
          <w:lang w:val="es-MX"/>
        </w:rPr>
        <w:t>, asociado al impacto de la Pandemia COVID-19</w:t>
      </w:r>
      <w:r w:rsidRPr="00CD1FD1">
        <w:rPr>
          <w:rFonts w:ascii="Museo Sans 300" w:hAnsi="Museo Sans 300"/>
          <w:sz w:val="22"/>
          <w:szCs w:val="22"/>
          <w:lang w:val="es-MX"/>
        </w:rPr>
        <w:t xml:space="preserve">. En términos del PIB, la deuda llegó al </w:t>
      </w:r>
      <w:r w:rsidR="00C15348" w:rsidRPr="00CD1FD1">
        <w:rPr>
          <w:rFonts w:ascii="Museo Sans 300" w:hAnsi="Museo Sans 300"/>
          <w:sz w:val="22"/>
          <w:szCs w:val="22"/>
          <w:lang w:val="es-MX"/>
        </w:rPr>
        <w:t>77.</w:t>
      </w:r>
      <w:r w:rsidR="008A7679">
        <w:rPr>
          <w:rFonts w:ascii="Museo Sans 300" w:hAnsi="Museo Sans 300"/>
          <w:sz w:val="22"/>
          <w:szCs w:val="22"/>
          <w:lang w:val="es-MX"/>
        </w:rPr>
        <w:t>2</w:t>
      </w:r>
      <w:r w:rsidR="00781123" w:rsidRPr="00CD1FD1">
        <w:rPr>
          <w:rFonts w:ascii="Museo Sans 300" w:hAnsi="Museo Sans 300"/>
          <w:sz w:val="22"/>
          <w:szCs w:val="22"/>
          <w:lang w:val="es-MX"/>
        </w:rPr>
        <w:t>%,</w:t>
      </w:r>
      <w:r w:rsidRPr="00CD1FD1">
        <w:rPr>
          <w:rFonts w:ascii="Museo Sans 300" w:hAnsi="Museo Sans 300"/>
          <w:sz w:val="22"/>
          <w:szCs w:val="22"/>
          <w:lang w:val="es-MX"/>
        </w:rPr>
        <w:t xml:space="preserve"> </w:t>
      </w:r>
      <w:r w:rsidR="008A7679">
        <w:rPr>
          <w:rFonts w:ascii="Museo Sans 300" w:hAnsi="Museo Sans 300"/>
          <w:sz w:val="22"/>
          <w:szCs w:val="22"/>
          <w:lang w:val="es-MX"/>
        </w:rPr>
        <w:t>inferior</w:t>
      </w:r>
      <w:r w:rsidR="00F667C7" w:rsidRPr="00CD1FD1">
        <w:rPr>
          <w:rFonts w:ascii="Museo Sans 300" w:hAnsi="Museo Sans 300"/>
          <w:sz w:val="22"/>
          <w:szCs w:val="22"/>
          <w:lang w:val="es-MX"/>
        </w:rPr>
        <w:t xml:space="preserve"> en </w:t>
      </w:r>
      <w:r w:rsidR="00C15348" w:rsidRPr="00CD1FD1">
        <w:rPr>
          <w:rFonts w:ascii="Museo Sans 300" w:hAnsi="Museo Sans 300"/>
          <w:sz w:val="22"/>
          <w:szCs w:val="22"/>
          <w:lang w:val="es-MX"/>
        </w:rPr>
        <w:t>0.</w:t>
      </w:r>
      <w:r w:rsidR="008A7679">
        <w:rPr>
          <w:rFonts w:ascii="Museo Sans 300" w:hAnsi="Museo Sans 300"/>
          <w:sz w:val="22"/>
          <w:szCs w:val="22"/>
          <w:lang w:val="es-MX"/>
        </w:rPr>
        <w:t>4</w:t>
      </w:r>
      <w:r w:rsidR="00BC0CDC" w:rsidRPr="00CD1FD1">
        <w:rPr>
          <w:rFonts w:ascii="Museo Sans 300" w:hAnsi="Museo Sans 300"/>
          <w:sz w:val="22"/>
          <w:szCs w:val="22"/>
          <w:lang w:val="es-MX"/>
        </w:rPr>
        <w:t xml:space="preserve"> </w:t>
      </w:r>
      <w:r w:rsidR="00F667C7" w:rsidRPr="00CD1FD1">
        <w:rPr>
          <w:rFonts w:ascii="Museo Sans 300" w:hAnsi="Museo Sans 300"/>
          <w:sz w:val="22"/>
          <w:szCs w:val="22"/>
          <w:lang w:val="es-MX"/>
        </w:rPr>
        <w:t>punto</w:t>
      </w:r>
      <w:r w:rsidR="00BC0CDC" w:rsidRPr="00CD1FD1">
        <w:rPr>
          <w:rFonts w:ascii="Museo Sans 300" w:hAnsi="Museo Sans 300"/>
          <w:sz w:val="22"/>
          <w:szCs w:val="22"/>
          <w:lang w:val="es-MX"/>
        </w:rPr>
        <w:t>s</w:t>
      </w:r>
      <w:r w:rsidR="00F667C7" w:rsidRPr="00CD1FD1">
        <w:rPr>
          <w:rFonts w:ascii="Museo Sans 300" w:hAnsi="Museo Sans 300"/>
          <w:sz w:val="22"/>
          <w:szCs w:val="22"/>
          <w:lang w:val="es-MX"/>
        </w:rPr>
        <w:t xml:space="preserve"> porcentual</w:t>
      </w:r>
      <w:r w:rsidR="00BF1AE8" w:rsidRPr="00CD1FD1">
        <w:rPr>
          <w:rFonts w:ascii="Museo Sans 300" w:hAnsi="Museo Sans 300"/>
          <w:sz w:val="22"/>
          <w:szCs w:val="22"/>
          <w:lang w:val="es-MX"/>
        </w:rPr>
        <w:t>es</w:t>
      </w:r>
      <w:r w:rsidR="00F667C7" w:rsidRPr="00CD1FD1">
        <w:rPr>
          <w:rFonts w:ascii="Museo Sans 300" w:hAnsi="Museo Sans 300"/>
          <w:sz w:val="22"/>
          <w:szCs w:val="22"/>
          <w:lang w:val="es-MX"/>
        </w:rPr>
        <w:t xml:space="preserve"> </w:t>
      </w:r>
      <w:r w:rsidR="002A0964" w:rsidRPr="00CD1FD1">
        <w:rPr>
          <w:rFonts w:ascii="Museo Sans 300" w:hAnsi="Museo Sans 300"/>
          <w:sz w:val="22"/>
          <w:szCs w:val="22"/>
          <w:lang w:val="es-MX"/>
        </w:rPr>
        <w:t>con</w:t>
      </w:r>
      <w:r w:rsidRPr="00CD1FD1">
        <w:rPr>
          <w:rFonts w:ascii="Museo Sans 300" w:hAnsi="Museo Sans 300"/>
          <w:sz w:val="22"/>
          <w:szCs w:val="22"/>
          <w:lang w:val="es-MX"/>
        </w:rPr>
        <w:t xml:space="preserve"> respecto al nivel registrado </w:t>
      </w:r>
      <w:r w:rsidR="005A54D2" w:rsidRPr="00CD1FD1">
        <w:rPr>
          <w:rFonts w:ascii="Museo Sans 300" w:hAnsi="Museo Sans 300"/>
          <w:sz w:val="22"/>
          <w:szCs w:val="22"/>
          <w:lang w:val="es-MX"/>
        </w:rPr>
        <w:t xml:space="preserve">al </w:t>
      </w:r>
      <w:r w:rsidR="002A0964" w:rsidRPr="00CD1FD1">
        <w:rPr>
          <w:rFonts w:ascii="Museo Sans 300" w:hAnsi="Museo Sans 300"/>
          <w:sz w:val="22"/>
          <w:szCs w:val="22"/>
          <w:lang w:val="es-MX"/>
        </w:rPr>
        <w:t xml:space="preserve">mismo período </w:t>
      </w:r>
      <w:r w:rsidR="005A54D2" w:rsidRPr="00CD1FD1">
        <w:rPr>
          <w:rFonts w:ascii="Museo Sans 300" w:hAnsi="Museo Sans 300"/>
          <w:sz w:val="22"/>
          <w:szCs w:val="22"/>
          <w:lang w:val="es-MX"/>
        </w:rPr>
        <w:t>de</w:t>
      </w:r>
      <w:r w:rsidRPr="00CD1FD1">
        <w:rPr>
          <w:rFonts w:ascii="Museo Sans 300" w:hAnsi="Museo Sans 300"/>
          <w:sz w:val="22"/>
          <w:szCs w:val="22"/>
          <w:lang w:val="es-MX"/>
        </w:rPr>
        <w:t xml:space="preserve"> </w:t>
      </w:r>
      <w:r w:rsidR="00581B7E" w:rsidRPr="00CD1FD1">
        <w:rPr>
          <w:rFonts w:ascii="Museo Sans 300" w:hAnsi="Museo Sans 300"/>
          <w:sz w:val="22"/>
          <w:szCs w:val="22"/>
          <w:lang w:val="es-MX"/>
        </w:rPr>
        <w:t>2021</w:t>
      </w:r>
      <w:r w:rsidR="00067A82" w:rsidRPr="00CD1FD1">
        <w:rPr>
          <w:rFonts w:ascii="Museo Sans 300" w:hAnsi="Museo Sans 300"/>
          <w:sz w:val="22"/>
          <w:szCs w:val="22"/>
          <w:lang w:val="es-MX"/>
        </w:rPr>
        <w:t>.</w:t>
      </w:r>
      <w:r w:rsidR="00170BAE" w:rsidRPr="00CD1FD1">
        <w:rPr>
          <w:rFonts w:ascii="Museo Sans 300" w:hAnsi="Museo Sans 300"/>
          <w:sz w:val="22"/>
          <w:szCs w:val="22"/>
          <w:lang w:val="es-MX"/>
        </w:rPr>
        <w:t xml:space="preserve"> </w:t>
      </w:r>
    </w:p>
    <w:p w14:paraId="4FFC16A0" w14:textId="77777777" w:rsidR="001A0A78" w:rsidRPr="0012688D" w:rsidRDefault="001A0A78" w:rsidP="001A0A78">
      <w:pPr>
        <w:jc w:val="center"/>
        <w:rPr>
          <w:rFonts w:ascii="Museo Sans 300" w:hAnsi="Museo Sans 300"/>
          <w:sz w:val="16"/>
          <w:szCs w:val="16"/>
          <w:highlight w:val="yellow"/>
          <w:lang w:val="es-MX"/>
        </w:rPr>
      </w:pPr>
    </w:p>
    <w:p w14:paraId="14FCDD5B" w14:textId="77777777" w:rsidR="00FC59E9" w:rsidRDefault="00FC59E9" w:rsidP="001A0A78">
      <w:pPr>
        <w:jc w:val="center"/>
        <w:rPr>
          <w:rFonts w:ascii="Museo Sans 300" w:hAnsi="Museo Sans 300"/>
          <w:sz w:val="22"/>
          <w:szCs w:val="22"/>
          <w:lang w:val="es-MX"/>
        </w:rPr>
      </w:pPr>
    </w:p>
    <w:p w14:paraId="43C4AEBF" w14:textId="77777777" w:rsidR="00FC59E9" w:rsidRDefault="00FC59E9" w:rsidP="001A0A78">
      <w:pPr>
        <w:jc w:val="center"/>
        <w:rPr>
          <w:rFonts w:ascii="Museo Sans 300" w:hAnsi="Museo Sans 300"/>
          <w:sz w:val="22"/>
          <w:szCs w:val="22"/>
          <w:lang w:val="es-MX"/>
        </w:rPr>
      </w:pPr>
    </w:p>
    <w:p w14:paraId="6B70A230" w14:textId="77777777" w:rsidR="006576D7" w:rsidRDefault="006576D7" w:rsidP="001A0A78">
      <w:pPr>
        <w:jc w:val="center"/>
        <w:rPr>
          <w:rFonts w:ascii="Museo Sans 300" w:hAnsi="Museo Sans 300"/>
          <w:sz w:val="22"/>
          <w:szCs w:val="22"/>
          <w:lang w:val="es-MX"/>
        </w:rPr>
      </w:pPr>
    </w:p>
    <w:p w14:paraId="5B0AEC3E" w14:textId="77777777" w:rsidR="006576D7" w:rsidRDefault="006576D7" w:rsidP="001A0A78">
      <w:pPr>
        <w:jc w:val="center"/>
        <w:rPr>
          <w:rFonts w:ascii="Museo Sans 300" w:hAnsi="Museo Sans 300"/>
          <w:sz w:val="22"/>
          <w:szCs w:val="22"/>
          <w:lang w:val="es-MX"/>
        </w:rPr>
      </w:pPr>
    </w:p>
    <w:p w14:paraId="4D15FA70" w14:textId="77777777" w:rsidR="006576D7" w:rsidRDefault="006576D7" w:rsidP="001A0A78">
      <w:pPr>
        <w:jc w:val="center"/>
        <w:rPr>
          <w:rFonts w:ascii="Museo Sans 300" w:hAnsi="Museo Sans 300"/>
          <w:sz w:val="22"/>
          <w:szCs w:val="22"/>
          <w:lang w:val="es-MX"/>
        </w:rPr>
      </w:pPr>
    </w:p>
    <w:p w14:paraId="5F357473" w14:textId="77777777" w:rsidR="006576D7" w:rsidRDefault="006576D7" w:rsidP="001A0A78">
      <w:pPr>
        <w:jc w:val="center"/>
        <w:rPr>
          <w:rFonts w:ascii="Museo Sans 300" w:hAnsi="Museo Sans 300"/>
          <w:sz w:val="22"/>
          <w:szCs w:val="22"/>
          <w:lang w:val="es-MX"/>
        </w:rPr>
      </w:pPr>
    </w:p>
    <w:p w14:paraId="20C150D9" w14:textId="77777777" w:rsidR="006576D7" w:rsidRDefault="006576D7" w:rsidP="001A0A78">
      <w:pPr>
        <w:jc w:val="center"/>
        <w:rPr>
          <w:rFonts w:ascii="Museo Sans 300" w:hAnsi="Museo Sans 300"/>
          <w:sz w:val="22"/>
          <w:szCs w:val="22"/>
          <w:lang w:val="es-MX"/>
        </w:rPr>
      </w:pPr>
    </w:p>
    <w:p w14:paraId="33474BFB" w14:textId="77777777" w:rsidR="006576D7" w:rsidRDefault="006576D7" w:rsidP="001A0A78">
      <w:pPr>
        <w:jc w:val="center"/>
        <w:rPr>
          <w:rFonts w:ascii="Museo Sans 300" w:hAnsi="Museo Sans 300"/>
          <w:sz w:val="22"/>
          <w:szCs w:val="22"/>
          <w:lang w:val="es-MX"/>
        </w:rPr>
      </w:pPr>
    </w:p>
    <w:p w14:paraId="513AAA09" w14:textId="77777777" w:rsidR="006576D7" w:rsidRDefault="006576D7" w:rsidP="001A0A78">
      <w:pPr>
        <w:jc w:val="center"/>
        <w:rPr>
          <w:rFonts w:ascii="Museo Sans 300" w:hAnsi="Museo Sans 300"/>
          <w:sz w:val="22"/>
          <w:szCs w:val="22"/>
          <w:lang w:val="es-MX"/>
        </w:rPr>
      </w:pPr>
    </w:p>
    <w:p w14:paraId="5299EA8B" w14:textId="77777777" w:rsidR="006576D7" w:rsidRDefault="006576D7" w:rsidP="001A0A78">
      <w:pPr>
        <w:jc w:val="center"/>
        <w:rPr>
          <w:rFonts w:ascii="Museo Sans 300" w:hAnsi="Museo Sans 300"/>
          <w:sz w:val="22"/>
          <w:szCs w:val="22"/>
          <w:lang w:val="es-MX"/>
        </w:rPr>
      </w:pPr>
    </w:p>
    <w:p w14:paraId="75C7B713" w14:textId="77777777" w:rsidR="006576D7" w:rsidRDefault="006576D7" w:rsidP="001A0A78">
      <w:pPr>
        <w:jc w:val="center"/>
        <w:rPr>
          <w:rFonts w:ascii="Museo Sans 300" w:hAnsi="Museo Sans 300"/>
          <w:sz w:val="22"/>
          <w:szCs w:val="22"/>
          <w:lang w:val="es-MX"/>
        </w:rPr>
      </w:pPr>
    </w:p>
    <w:p w14:paraId="09C75947" w14:textId="77777777" w:rsidR="006576D7" w:rsidRDefault="006576D7" w:rsidP="001A0A78">
      <w:pPr>
        <w:jc w:val="center"/>
        <w:rPr>
          <w:rFonts w:ascii="Museo Sans 300" w:hAnsi="Museo Sans 300"/>
          <w:sz w:val="22"/>
          <w:szCs w:val="22"/>
          <w:lang w:val="es-MX"/>
        </w:rPr>
      </w:pPr>
    </w:p>
    <w:p w14:paraId="3FB8B88F" w14:textId="77777777" w:rsidR="000A6A22" w:rsidRDefault="000A6A22" w:rsidP="001A0A78">
      <w:pPr>
        <w:jc w:val="center"/>
        <w:rPr>
          <w:rFonts w:ascii="Museo Sans 300" w:hAnsi="Museo Sans 300"/>
          <w:sz w:val="22"/>
          <w:szCs w:val="22"/>
          <w:lang w:val="es-MX"/>
        </w:rPr>
      </w:pPr>
    </w:p>
    <w:p w14:paraId="2C8D0F88" w14:textId="77777777" w:rsidR="00FC59E9" w:rsidRDefault="00FC59E9" w:rsidP="001A0A78">
      <w:pPr>
        <w:jc w:val="center"/>
        <w:rPr>
          <w:rFonts w:ascii="Museo Sans 300" w:hAnsi="Museo Sans 300"/>
          <w:sz w:val="22"/>
          <w:szCs w:val="22"/>
          <w:lang w:val="es-MX"/>
        </w:rPr>
      </w:pPr>
    </w:p>
    <w:p w14:paraId="3A99961E" w14:textId="77777777" w:rsidR="001A0A78" w:rsidRDefault="001A0A78" w:rsidP="001A0A78">
      <w:pPr>
        <w:jc w:val="center"/>
        <w:rPr>
          <w:rFonts w:ascii="Museo Sans 300" w:hAnsi="Museo Sans 300"/>
          <w:sz w:val="22"/>
          <w:szCs w:val="22"/>
          <w:lang w:val="es-MX"/>
        </w:rPr>
      </w:pPr>
      <w:r w:rsidRPr="0012688D">
        <w:rPr>
          <w:rFonts w:ascii="Museo Sans 300" w:hAnsi="Museo Sans 300"/>
          <w:sz w:val="22"/>
          <w:szCs w:val="22"/>
          <w:lang w:val="es-MX"/>
        </w:rPr>
        <w:lastRenderedPageBreak/>
        <w:t xml:space="preserve">Gráfico </w:t>
      </w:r>
      <w:r w:rsidR="008C628A">
        <w:rPr>
          <w:rFonts w:ascii="Museo Sans 300" w:hAnsi="Museo Sans 300"/>
          <w:sz w:val="22"/>
          <w:szCs w:val="22"/>
          <w:lang w:val="es-MX"/>
        </w:rPr>
        <w:t>8</w:t>
      </w:r>
      <w:r w:rsidRPr="0012688D">
        <w:rPr>
          <w:rFonts w:ascii="Museo Sans 300" w:hAnsi="Museo Sans 300"/>
          <w:sz w:val="22"/>
          <w:szCs w:val="22"/>
          <w:lang w:val="es-MX"/>
        </w:rPr>
        <w:t xml:space="preserve">: Saldo de la Deuda con pensiones del SPNF 2014 –2021 y a </w:t>
      </w:r>
      <w:r w:rsidR="00C722FC">
        <w:rPr>
          <w:rFonts w:ascii="Museo Sans 300" w:hAnsi="Museo Sans 300"/>
          <w:sz w:val="22"/>
          <w:szCs w:val="22"/>
          <w:lang w:val="es-MX"/>
        </w:rPr>
        <w:t>junio</w:t>
      </w:r>
      <w:r w:rsidRPr="0012688D">
        <w:rPr>
          <w:rFonts w:ascii="Museo Sans 300" w:hAnsi="Museo Sans 300"/>
          <w:sz w:val="22"/>
          <w:szCs w:val="22"/>
          <w:lang w:val="es-MX"/>
        </w:rPr>
        <w:t xml:space="preserve"> 2022</w:t>
      </w:r>
    </w:p>
    <w:p w14:paraId="3120E234" w14:textId="77777777" w:rsidR="0012688D" w:rsidRPr="0012688D" w:rsidRDefault="0012688D" w:rsidP="001A0A78">
      <w:pPr>
        <w:jc w:val="center"/>
        <w:rPr>
          <w:rFonts w:ascii="Museo Sans 300" w:hAnsi="Museo Sans 300"/>
          <w:sz w:val="16"/>
          <w:szCs w:val="16"/>
          <w:lang w:val="es-MX"/>
        </w:rPr>
      </w:pPr>
    </w:p>
    <w:p w14:paraId="5592AE8B" w14:textId="77777777" w:rsidR="001A0A78" w:rsidRPr="00CD1FD1" w:rsidRDefault="00B56379" w:rsidP="001A0A78">
      <w:pPr>
        <w:jc w:val="center"/>
        <w:rPr>
          <w:rFonts w:ascii="Museo Sans 300" w:hAnsi="Museo Sans 300"/>
          <w:sz w:val="22"/>
          <w:szCs w:val="22"/>
          <w:lang w:val="es-MX"/>
        </w:rPr>
      </w:pPr>
      <w:r w:rsidRPr="00B56379">
        <w:rPr>
          <w:noProof/>
        </w:rPr>
        <w:drawing>
          <wp:inline distT="0" distB="0" distL="0" distR="0" wp14:anchorId="67441BAA" wp14:editId="3AE62D50">
            <wp:extent cx="5048411" cy="302567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2953" cy="3040385"/>
                    </a:xfrm>
                    <a:prstGeom prst="rect">
                      <a:avLst/>
                    </a:prstGeom>
                    <a:noFill/>
                    <a:ln>
                      <a:noFill/>
                    </a:ln>
                  </pic:spPr>
                </pic:pic>
              </a:graphicData>
            </a:graphic>
          </wp:inline>
        </w:drawing>
      </w:r>
    </w:p>
    <w:p w14:paraId="773EF989" w14:textId="77777777" w:rsidR="001A0A78" w:rsidRPr="00CD1FD1" w:rsidRDefault="001A0A78" w:rsidP="004A685A">
      <w:pPr>
        <w:jc w:val="both"/>
        <w:rPr>
          <w:rFonts w:ascii="Museo Sans 300" w:hAnsi="Museo Sans 300"/>
          <w:sz w:val="22"/>
          <w:szCs w:val="22"/>
          <w:lang w:val="es-MX"/>
        </w:rPr>
      </w:pPr>
    </w:p>
    <w:p w14:paraId="45F80451" w14:textId="77777777" w:rsidR="00BE517D" w:rsidRPr="00CD1FD1" w:rsidRDefault="00BE517D" w:rsidP="00BE517D">
      <w:pPr>
        <w:pStyle w:val="Ttulo3"/>
        <w:rPr>
          <w:rFonts w:ascii="Museo Sans 300" w:hAnsi="Museo Sans 300"/>
          <w:b/>
          <w:sz w:val="22"/>
          <w:szCs w:val="22"/>
          <w:lang w:val="es-MX"/>
        </w:rPr>
      </w:pPr>
      <w:r w:rsidRPr="00CD1FD1">
        <w:rPr>
          <w:rFonts w:ascii="Museo Sans 300" w:hAnsi="Museo Sans 300"/>
          <w:b/>
          <w:sz w:val="22"/>
          <w:szCs w:val="22"/>
          <w:lang w:val="es-MX"/>
        </w:rPr>
        <w:t xml:space="preserve">  </w:t>
      </w:r>
      <w:bookmarkStart w:id="51" w:name="_Toc56581214"/>
      <w:bookmarkStart w:id="52" w:name="_Toc116389140"/>
      <w:r w:rsidRPr="00CD1FD1">
        <w:rPr>
          <w:rFonts w:ascii="Museo Sans 300" w:hAnsi="Museo Sans 300"/>
          <w:b/>
          <w:sz w:val="22"/>
          <w:szCs w:val="22"/>
          <w:lang w:val="es-MX"/>
        </w:rPr>
        <w:t>3.1 Deuda Interna</w:t>
      </w:r>
      <w:bookmarkEnd w:id="51"/>
      <w:bookmarkEnd w:id="52"/>
    </w:p>
    <w:p w14:paraId="56CA6187" w14:textId="77777777" w:rsidR="00BE517D" w:rsidRPr="00CD1FD1" w:rsidRDefault="00BE517D" w:rsidP="00BE517D">
      <w:pPr>
        <w:jc w:val="both"/>
        <w:rPr>
          <w:rFonts w:ascii="Museo Sans 300" w:hAnsi="Museo Sans 300"/>
          <w:sz w:val="22"/>
          <w:szCs w:val="22"/>
          <w:lang w:val="es-MX"/>
        </w:rPr>
      </w:pPr>
    </w:p>
    <w:p w14:paraId="2D0C6A89" w14:textId="77777777" w:rsidR="00BE517D" w:rsidRDefault="00BE517D" w:rsidP="00BE517D">
      <w:pPr>
        <w:jc w:val="both"/>
        <w:rPr>
          <w:rFonts w:ascii="Museo Sans 300" w:hAnsi="Museo Sans 300"/>
          <w:sz w:val="22"/>
          <w:szCs w:val="22"/>
          <w:lang w:val="es-MX"/>
        </w:rPr>
      </w:pPr>
      <w:r w:rsidRPr="00CD1FD1">
        <w:rPr>
          <w:rFonts w:ascii="Museo Sans 300" w:hAnsi="Museo Sans 300"/>
          <w:sz w:val="22"/>
          <w:szCs w:val="22"/>
          <w:lang w:val="es-MX"/>
        </w:rPr>
        <w:t>El Saldo de la deuda interna alcanzó un monto de $</w:t>
      </w:r>
      <w:r w:rsidR="00C15348" w:rsidRPr="00CD1FD1">
        <w:rPr>
          <w:rFonts w:ascii="Museo Sans 300" w:hAnsi="Museo Sans 300"/>
          <w:sz w:val="22"/>
          <w:szCs w:val="22"/>
          <w:lang w:val="es-MX"/>
        </w:rPr>
        <w:t>6,1</w:t>
      </w:r>
      <w:r w:rsidR="00933944">
        <w:rPr>
          <w:rFonts w:ascii="Museo Sans 300" w:hAnsi="Museo Sans 300"/>
          <w:sz w:val="22"/>
          <w:szCs w:val="22"/>
          <w:lang w:val="es-MX"/>
        </w:rPr>
        <w:t>27.0</w:t>
      </w:r>
      <w:r w:rsidR="00194FEF" w:rsidRPr="00CD1FD1">
        <w:rPr>
          <w:rFonts w:ascii="Museo Sans 300" w:hAnsi="Museo Sans 300"/>
          <w:sz w:val="22"/>
          <w:szCs w:val="22"/>
          <w:lang w:val="es-MX"/>
        </w:rPr>
        <w:t xml:space="preserve"> </w:t>
      </w:r>
      <w:r w:rsidRPr="00CD1FD1">
        <w:rPr>
          <w:rFonts w:ascii="Museo Sans 300" w:hAnsi="Museo Sans 300"/>
          <w:sz w:val="22"/>
          <w:szCs w:val="22"/>
          <w:lang w:val="es-MX"/>
        </w:rPr>
        <w:t>millones equivalente a 2</w:t>
      </w:r>
      <w:r w:rsidR="00C15348" w:rsidRPr="00CD1FD1">
        <w:rPr>
          <w:rFonts w:ascii="Museo Sans 300" w:hAnsi="Museo Sans 300"/>
          <w:sz w:val="22"/>
          <w:szCs w:val="22"/>
          <w:lang w:val="es-MX"/>
        </w:rPr>
        <w:t>0.</w:t>
      </w:r>
      <w:r w:rsidR="00933944">
        <w:rPr>
          <w:rFonts w:ascii="Museo Sans 300" w:hAnsi="Museo Sans 300"/>
          <w:sz w:val="22"/>
          <w:szCs w:val="22"/>
          <w:lang w:val="es-MX"/>
        </w:rPr>
        <w:t>1</w:t>
      </w:r>
      <w:r w:rsidRPr="00CD1FD1">
        <w:rPr>
          <w:rFonts w:ascii="Museo Sans 300" w:hAnsi="Museo Sans 300"/>
          <w:sz w:val="22"/>
          <w:szCs w:val="22"/>
          <w:lang w:val="es-MX"/>
        </w:rPr>
        <w:t xml:space="preserve">% del PIB. Al incorporar el saldo del Fideicomisos de Obligaciones Previsionales, (FOP) </w:t>
      </w:r>
      <w:r w:rsidR="00194FEF" w:rsidRPr="00CD1FD1">
        <w:rPr>
          <w:rFonts w:ascii="Museo Sans 300" w:hAnsi="Museo Sans 300"/>
          <w:sz w:val="22"/>
          <w:szCs w:val="22"/>
          <w:lang w:val="es-MX"/>
        </w:rPr>
        <w:t>este</w:t>
      </w:r>
      <w:r w:rsidRPr="00CD1FD1">
        <w:rPr>
          <w:rFonts w:ascii="Museo Sans 300" w:hAnsi="Museo Sans 300"/>
          <w:sz w:val="22"/>
          <w:szCs w:val="22"/>
          <w:lang w:val="es-MX"/>
        </w:rPr>
        <w:t xml:space="preserve"> asciende a $1</w:t>
      </w:r>
      <w:r w:rsidR="00C15348" w:rsidRPr="00CD1FD1">
        <w:rPr>
          <w:rFonts w:ascii="Museo Sans 300" w:hAnsi="Museo Sans 300"/>
          <w:sz w:val="22"/>
          <w:szCs w:val="22"/>
          <w:lang w:val="es-MX"/>
        </w:rPr>
        <w:t>2,0</w:t>
      </w:r>
      <w:r w:rsidR="00933944">
        <w:rPr>
          <w:rFonts w:ascii="Museo Sans 300" w:hAnsi="Museo Sans 300"/>
          <w:sz w:val="22"/>
          <w:szCs w:val="22"/>
          <w:lang w:val="es-MX"/>
        </w:rPr>
        <w:t>61.4</w:t>
      </w:r>
      <w:r w:rsidR="00C15348" w:rsidRPr="00CD1FD1">
        <w:rPr>
          <w:rFonts w:ascii="Museo Sans 300" w:hAnsi="Museo Sans 300"/>
          <w:sz w:val="22"/>
          <w:szCs w:val="22"/>
          <w:lang w:val="es-MX"/>
        </w:rPr>
        <w:t>2</w:t>
      </w:r>
      <w:r w:rsidRPr="00CD1FD1">
        <w:rPr>
          <w:rFonts w:ascii="Museo Sans 300" w:hAnsi="Museo Sans 300"/>
          <w:sz w:val="22"/>
          <w:szCs w:val="22"/>
          <w:lang w:val="es-MX"/>
        </w:rPr>
        <w:t xml:space="preserve"> millones superior en $</w:t>
      </w:r>
      <w:r w:rsidR="00933944">
        <w:rPr>
          <w:rFonts w:ascii="Museo Sans 300" w:hAnsi="Museo Sans 300"/>
          <w:sz w:val="22"/>
          <w:szCs w:val="22"/>
          <w:lang w:val="es-MX"/>
        </w:rPr>
        <w:t>641.8</w:t>
      </w:r>
      <w:r w:rsidRPr="00CD1FD1">
        <w:rPr>
          <w:rFonts w:ascii="Museo Sans 300" w:hAnsi="Museo Sans 300"/>
          <w:sz w:val="22"/>
          <w:szCs w:val="22"/>
          <w:lang w:val="es-MX"/>
        </w:rPr>
        <w:t xml:space="preserve"> millones con respecto al nivel registrado en </w:t>
      </w:r>
      <w:r w:rsidR="00581B7E" w:rsidRPr="00CD1FD1">
        <w:rPr>
          <w:rFonts w:ascii="Museo Sans 300" w:hAnsi="Museo Sans 300"/>
          <w:sz w:val="22"/>
          <w:szCs w:val="22"/>
          <w:lang w:val="es-MX"/>
        </w:rPr>
        <w:t>2021</w:t>
      </w:r>
      <w:r w:rsidR="000A6A22">
        <w:rPr>
          <w:rFonts w:ascii="Museo Sans 300" w:hAnsi="Museo Sans 300"/>
          <w:sz w:val="22"/>
          <w:szCs w:val="22"/>
          <w:lang w:val="es-MX"/>
        </w:rPr>
        <w:t>.</w:t>
      </w:r>
    </w:p>
    <w:p w14:paraId="505FD239" w14:textId="77777777" w:rsidR="000A6A22" w:rsidRPr="00CD1FD1" w:rsidRDefault="000A6A22" w:rsidP="00BE517D">
      <w:pPr>
        <w:jc w:val="both"/>
        <w:rPr>
          <w:rFonts w:ascii="Museo Sans 300" w:hAnsi="Museo Sans 300"/>
          <w:sz w:val="22"/>
          <w:szCs w:val="22"/>
          <w:lang w:val="es-MX"/>
        </w:rPr>
      </w:pPr>
    </w:p>
    <w:p w14:paraId="0710C75A" w14:textId="77777777" w:rsidR="00BE517D" w:rsidRPr="00CD1FD1" w:rsidRDefault="00BE517D" w:rsidP="00BE517D">
      <w:pPr>
        <w:jc w:val="both"/>
        <w:rPr>
          <w:rFonts w:ascii="Museo Sans 300" w:hAnsi="Museo Sans 300"/>
          <w:sz w:val="22"/>
          <w:szCs w:val="22"/>
          <w:lang w:val="es-MX"/>
        </w:rPr>
      </w:pPr>
      <w:r w:rsidRPr="00CD1FD1">
        <w:rPr>
          <w:rFonts w:ascii="Museo Sans 300" w:hAnsi="Museo Sans 300"/>
          <w:sz w:val="22"/>
          <w:szCs w:val="22"/>
          <w:lang w:val="es-MX"/>
        </w:rPr>
        <w:t>En su composición el saldo de la deuda interna está integrado principalmente por: deuda del BCR por $704.3 millones; Certificados Previsionales del FOP por $5,</w:t>
      </w:r>
      <w:r w:rsidR="00933944">
        <w:rPr>
          <w:rFonts w:ascii="Museo Sans 300" w:hAnsi="Museo Sans 300"/>
          <w:sz w:val="22"/>
          <w:szCs w:val="22"/>
          <w:lang w:val="es-MX"/>
        </w:rPr>
        <w:t>934.3</w:t>
      </w:r>
      <w:r w:rsidRPr="00CD1FD1">
        <w:rPr>
          <w:rFonts w:ascii="Museo Sans 300" w:hAnsi="Museo Sans 300"/>
          <w:sz w:val="22"/>
          <w:szCs w:val="22"/>
          <w:lang w:val="es-MX"/>
        </w:rPr>
        <w:t xml:space="preserve"> millones; bonos emitidos en el mercado nacional y eurobonos en poder de residentes por $</w:t>
      </w:r>
      <w:r w:rsidR="00933944">
        <w:rPr>
          <w:rFonts w:ascii="Museo Sans 300" w:hAnsi="Museo Sans 300"/>
          <w:sz w:val="22"/>
          <w:szCs w:val="22"/>
          <w:lang w:val="es-MX"/>
        </w:rPr>
        <w:t>3,024.0</w:t>
      </w:r>
      <w:r w:rsidRPr="00CD1FD1">
        <w:rPr>
          <w:rFonts w:ascii="Museo Sans 300" w:hAnsi="Museo Sans 300"/>
          <w:sz w:val="22"/>
          <w:szCs w:val="22"/>
          <w:lang w:val="es-MX"/>
        </w:rPr>
        <w:t xml:space="preserve"> millones; deuda de corto plazo (LETES) por $1,</w:t>
      </w:r>
      <w:r w:rsidR="00933944">
        <w:rPr>
          <w:rFonts w:ascii="Museo Sans 300" w:hAnsi="Museo Sans 300"/>
          <w:sz w:val="22"/>
          <w:szCs w:val="22"/>
          <w:lang w:val="es-MX"/>
        </w:rPr>
        <w:t>051.8</w:t>
      </w:r>
      <w:r w:rsidRPr="00CD1FD1">
        <w:rPr>
          <w:rFonts w:ascii="Museo Sans 300" w:hAnsi="Museo Sans 300"/>
          <w:sz w:val="22"/>
          <w:szCs w:val="22"/>
          <w:lang w:val="es-MX"/>
        </w:rPr>
        <w:t xml:space="preserve"> millones</w:t>
      </w:r>
      <w:r w:rsidR="00A41536" w:rsidRPr="00CD1FD1">
        <w:rPr>
          <w:rFonts w:ascii="Museo Sans 300" w:hAnsi="Museo Sans 300"/>
          <w:sz w:val="22"/>
          <w:szCs w:val="22"/>
          <w:lang w:val="es-MX"/>
        </w:rPr>
        <w:t>;</w:t>
      </w:r>
      <w:r w:rsidRPr="00CD1FD1">
        <w:rPr>
          <w:rFonts w:ascii="Museo Sans 300" w:hAnsi="Museo Sans 300"/>
          <w:sz w:val="22"/>
          <w:szCs w:val="22"/>
          <w:lang w:val="es-MX"/>
        </w:rPr>
        <w:t xml:space="preserve"> CETES por $</w:t>
      </w:r>
      <w:r w:rsidR="004923BB" w:rsidRPr="00CD1FD1">
        <w:rPr>
          <w:rFonts w:ascii="Museo Sans 300" w:hAnsi="Museo Sans 300"/>
          <w:sz w:val="22"/>
          <w:szCs w:val="22"/>
          <w:lang w:val="es-MX"/>
        </w:rPr>
        <w:t>1,</w:t>
      </w:r>
      <w:r w:rsidR="00933944">
        <w:rPr>
          <w:rFonts w:ascii="Museo Sans 300" w:hAnsi="Museo Sans 300"/>
          <w:sz w:val="22"/>
          <w:szCs w:val="22"/>
          <w:lang w:val="es-MX"/>
        </w:rPr>
        <w:t>288.0</w:t>
      </w:r>
      <w:r w:rsidRPr="00CD1FD1">
        <w:rPr>
          <w:rFonts w:ascii="Museo Sans 300" w:hAnsi="Museo Sans 300"/>
          <w:sz w:val="22"/>
          <w:szCs w:val="22"/>
          <w:lang w:val="es-MX"/>
        </w:rPr>
        <w:t xml:space="preserve"> millones y otros por </w:t>
      </w:r>
      <w:r w:rsidRPr="008A6373">
        <w:rPr>
          <w:rFonts w:ascii="Museo Sans 300" w:hAnsi="Museo Sans 300"/>
          <w:sz w:val="22"/>
          <w:szCs w:val="22"/>
          <w:lang w:val="es-MX"/>
        </w:rPr>
        <w:t>$</w:t>
      </w:r>
      <w:r w:rsidR="004923BB" w:rsidRPr="008A6373">
        <w:rPr>
          <w:rFonts w:ascii="Museo Sans 300" w:hAnsi="Museo Sans 300"/>
          <w:sz w:val="22"/>
          <w:szCs w:val="22"/>
          <w:lang w:val="es-MX"/>
        </w:rPr>
        <w:t>5</w:t>
      </w:r>
      <w:r w:rsidR="00933944">
        <w:rPr>
          <w:rFonts w:ascii="Museo Sans 300" w:hAnsi="Museo Sans 300"/>
          <w:sz w:val="22"/>
          <w:szCs w:val="22"/>
          <w:lang w:val="es-MX"/>
        </w:rPr>
        <w:t>9.0</w:t>
      </w:r>
      <w:r w:rsidRPr="008A6373">
        <w:rPr>
          <w:rFonts w:ascii="Museo Sans 300" w:hAnsi="Museo Sans 300"/>
          <w:sz w:val="22"/>
          <w:szCs w:val="22"/>
          <w:lang w:val="es-MX"/>
        </w:rPr>
        <w:t xml:space="preserve"> millones</w:t>
      </w:r>
      <w:r w:rsidRPr="00A17660">
        <w:rPr>
          <w:rFonts w:ascii="Museo Sans 300" w:hAnsi="Museo Sans 300"/>
          <w:color w:val="FF0000"/>
          <w:sz w:val="22"/>
          <w:szCs w:val="22"/>
          <w:lang w:val="es-MX"/>
        </w:rPr>
        <w:t>.</w:t>
      </w:r>
      <w:r w:rsidR="004B7D62">
        <w:rPr>
          <w:rFonts w:ascii="Museo Sans 300" w:hAnsi="Museo Sans 300"/>
          <w:color w:val="FF0000"/>
          <w:sz w:val="22"/>
          <w:szCs w:val="22"/>
          <w:lang w:val="es-MX"/>
        </w:rPr>
        <w:t xml:space="preserve"> </w:t>
      </w:r>
    </w:p>
    <w:p w14:paraId="29BC77BA" w14:textId="77777777" w:rsidR="00774C28" w:rsidRPr="00CD1FD1" w:rsidRDefault="00774C28" w:rsidP="00386BC0">
      <w:pPr>
        <w:jc w:val="center"/>
        <w:rPr>
          <w:rFonts w:ascii="Museo Sans 300" w:hAnsi="Museo Sans 300"/>
          <w:sz w:val="22"/>
          <w:szCs w:val="22"/>
          <w:lang w:val="es-MX"/>
        </w:rPr>
      </w:pPr>
    </w:p>
    <w:p w14:paraId="3E49DE9B" w14:textId="77777777" w:rsidR="00442DE5" w:rsidRPr="00CD1FD1" w:rsidRDefault="00BD6252" w:rsidP="004423E5">
      <w:pPr>
        <w:pStyle w:val="Ttulo3"/>
        <w:rPr>
          <w:rFonts w:ascii="Museo Sans 300" w:hAnsi="Museo Sans 300"/>
          <w:b/>
          <w:sz w:val="22"/>
          <w:szCs w:val="22"/>
          <w:lang w:val="es-MX"/>
        </w:rPr>
      </w:pPr>
      <w:r w:rsidRPr="00CD1FD1">
        <w:rPr>
          <w:rFonts w:ascii="Museo Sans 300" w:hAnsi="Museo Sans 300"/>
          <w:b/>
          <w:sz w:val="22"/>
          <w:szCs w:val="22"/>
          <w:lang w:val="es-MX"/>
        </w:rPr>
        <w:t xml:space="preserve"> </w:t>
      </w:r>
      <w:bookmarkStart w:id="53" w:name="_Toc56581215"/>
      <w:bookmarkStart w:id="54" w:name="_Toc116389141"/>
      <w:r w:rsidR="00AA7D08" w:rsidRPr="00CD1FD1">
        <w:rPr>
          <w:rFonts w:ascii="Museo Sans 300" w:hAnsi="Museo Sans 300"/>
          <w:b/>
          <w:sz w:val="22"/>
          <w:szCs w:val="22"/>
          <w:lang w:val="es-MX"/>
        </w:rPr>
        <w:t>3</w:t>
      </w:r>
      <w:r w:rsidR="009B117C" w:rsidRPr="00CD1FD1">
        <w:rPr>
          <w:rFonts w:ascii="Museo Sans 300" w:hAnsi="Museo Sans 300"/>
          <w:b/>
          <w:sz w:val="22"/>
          <w:szCs w:val="22"/>
          <w:lang w:val="es-MX"/>
        </w:rPr>
        <w:t xml:space="preserve">.2 </w:t>
      </w:r>
      <w:r w:rsidR="00442DE5" w:rsidRPr="00CD1FD1">
        <w:rPr>
          <w:rFonts w:ascii="Museo Sans 300" w:hAnsi="Museo Sans 300"/>
          <w:b/>
          <w:sz w:val="22"/>
          <w:szCs w:val="22"/>
          <w:lang w:val="es-MX"/>
        </w:rPr>
        <w:t>Deuda Externa.</w:t>
      </w:r>
      <w:bookmarkEnd w:id="53"/>
      <w:bookmarkEnd w:id="54"/>
    </w:p>
    <w:p w14:paraId="32EDB774" w14:textId="77777777" w:rsidR="00442DE5" w:rsidRPr="00CD1FD1" w:rsidRDefault="00442DE5" w:rsidP="00442DE5">
      <w:pPr>
        <w:jc w:val="both"/>
        <w:rPr>
          <w:rFonts w:ascii="Museo Sans 300" w:hAnsi="Museo Sans 300"/>
          <w:sz w:val="22"/>
          <w:szCs w:val="22"/>
          <w:lang w:val="es-MX"/>
        </w:rPr>
      </w:pPr>
    </w:p>
    <w:p w14:paraId="64A39A21" w14:textId="77777777" w:rsidR="00442DE5" w:rsidRPr="00CD1FD1" w:rsidRDefault="00442DE5" w:rsidP="00442DE5">
      <w:pPr>
        <w:jc w:val="both"/>
        <w:rPr>
          <w:rFonts w:ascii="Museo Sans 300" w:hAnsi="Museo Sans 300"/>
          <w:sz w:val="22"/>
          <w:szCs w:val="22"/>
          <w:lang w:val="es-MX"/>
        </w:rPr>
      </w:pPr>
      <w:r w:rsidRPr="00CD1FD1">
        <w:rPr>
          <w:rFonts w:ascii="Museo Sans 300" w:hAnsi="Museo Sans 300"/>
          <w:sz w:val="22"/>
          <w:szCs w:val="22"/>
          <w:lang w:val="es-MX"/>
        </w:rPr>
        <w:t xml:space="preserve">Por su parte, la deuda externa </w:t>
      </w:r>
      <w:r w:rsidR="00D41F8B" w:rsidRPr="00CD1FD1">
        <w:rPr>
          <w:rFonts w:ascii="Museo Sans 300" w:hAnsi="Museo Sans 300"/>
          <w:sz w:val="22"/>
          <w:szCs w:val="22"/>
          <w:lang w:val="es-MX"/>
        </w:rPr>
        <w:t xml:space="preserve">total </w:t>
      </w:r>
      <w:r w:rsidRPr="00CD1FD1">
        <w:rPr>
          <w:rFonts w:ascii="Museo Sans 300" w:hAnsi="Museo Sans 300"/>
          <w:sz w:val="22"/>
          <w:szCs w:val="22"/>
          <w:lang w:val="es-MX"/>
        </w:rPr>
        <w:t>ascendió a $</w:t>
      </w:r>
      <w:r w:rsidR="00BC69B8" w:rsidRPr="00CD1FD1">
        <w:rPr>
          <w:rFonts w:ascii="Museo Sans 300" w:hAnsi="Museo Sans 300"/>
          <w:sz w:val="22"/>
          <w:szCs w:val="22"/>
          <w:lang w:val="es-MX"/>
        </w:rPr>
        <w:t>1</w:t>
      </w:r>
      <w:r w:rsidR="004923BB" w:rsidRPr="00CD1FD1">
        <w:rPr>
          <w:rFonts w:ascii="Museo Sans 300" w:hAnsi="Museo Sans 300"/>
          <w:sz w:val="22"/>
          <w:szCs w:val="22"/>
          <w:lang w:val="es-MX"/>
        </w:rPr>
        <w:t>1,4</w:t>
      </w:r>
      <w:r w:rsidR="00E0630A">
        <w:rPr>
          <w:rFonts w:ascii="Museo Sans 300" w:hAnsi="Museo Sans 300"/>
          <w:sz w:val="22"/>
          <w:szCs w:val="22"/>
          <w:lang w:val="es-MX"/>
        </w:rPr>
        <w:t>26.7</w:t>
      </w:r>
      <w:r w:rsidR="00481AC8"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millones, representando el </w:t>
      </w:r>
      <w:r w:rsidR="004923BB" w:rsidRPr="00CD1FD1">
        <w:rPr>
          <w:rFonts w:ascii="Museo Sans 300" w:hAnsi="Museo Sans 300"/>
          <w:sz w:val="22"/>
          <w:szCs w:val="22"/>
          <w:lang w:val="es-MX"/>
        </w:rPr>
        <w:t>37.</w:t>
      </w:r>
      <w:r w:rsidR="00E0630A">
        <w:rPr>
          <w:rFonts w:ascii="Museo Sans 300" w:hAnsi="Museo Sans 300"/>
          <w:sz w:val="22"/>
          <w:szCs w:val="22"/>
          <w:lang w:val="es-MX"/>
        </w:rPr>
        <w:t>6</w:t>
      </w:r>
      <w:r w:rsidRPr="00CD1FD1">
        <w:rPr>
          <w:rFonts w:ascii="Museo Sans 300" w:hAnsi="Museo Sans 300"/>
          <w:sz w:val="22"/>
          <w:szCs w:val="22"/>
          <w:lang w:val="es-MX"/>
        </w:rPr>
        <w:t>% del PIB, resultando m</w:t>
      </w:r>
      <w:r w:rsidR="006A0614" w:rsidRPr="00CD1FD1">
        <w:rPr>
          <w:rFonts w:ascii="Museo Sans 300" w:hAnsi="Museo Sans 300"/>
          <w:sz w:val="22"/>
          <w:szCs w:val="22"/>
          <w:lang w:val="es-MX"/>
        </w:rPr>
        <w:t>ayor</w:t>
      </w:r>
      <w:r w:rsidRPr="00CD1FD1">
        <w:rPr>
          <w:rFonts w:ascii="Museo Sans 300" w:hAnsi="Museo Sans 300"/>
          <w:sz w:val="22"/>
          <w:szCs w:val="22"/>
          <w:lang w:val="es-MX"/>
        </w:rPr>
        <w:t xml:space="preserve"> en $</w:t>
      </w:r>
      <w:r w:rsidR="00E0630A">
        <w:rPr>
          <w:rFonts w:ascii="Museo Sans 300" w:hAnsi="Museo Sans 300"/>
          <w:sz w:val="22"/>
          <w:szCs w:val="22"/>
          <w:lang w:val="es-MX"/>
        </w:rPr>
        <w:t>555.2</w:t>
      </w:r>
      <w:r w:rsidRPr="00CD1FD1">
        <w:rPr>
          <w:rFonts w:ascii="Museo Sans 300" w:hAnsi="Museo Sans 300"/>
          <w:sz w:val="22"/>
          <w:szCs w:val="22"/>
          <w:lang w:val="es-MX"/>
        </w:rPr>
        <w:t xml:space="preserve"> millones, equivalentes a </w:t>
      </w:r>
      <w:r w:rsidR="00E0630A">
        <w:rPr>
          <w:rFonts w:ascii="Museo Sans 300" w:hAnsi="Museo Sans 300"/>
          <w:sz w:val="22"/>
          <w:szCs w:val="22"/>
          <w:lang w:val="es-MX"/>
        </w:rPr>
        <w:t>5.1</w:t>
      </w:r>
      <w:r w:rsidRPr="00CD1FD1">
        <w:rPr>
          <w:rFonts w:ascii="Museo Sans 300" w:hAnsi="Museo Sans 300"/>
          <w:sz w:val="22"/>
          <w:szCs w:val="22"/>
          <w:lang w:val="es-MX"/>
        </w:rPr>
        <w:t xml:space="preserve">% con relación al saldo registrado </w:t>
      </w:r>
      <w:r w:rsidR="008C7079" w:rsidRPr="00CD1FD1">
        <w:rPr>
          <w:rFonts w:ascii="Museo Sans 300" w:hAnsi="Museo Sans 300"/>
          <w:sz w:val="22"/>
          <w:szCs w:val="22"/>
          <w:lang w:val="es-MX"/>
        </w:rPr>
        <w:t xml:space="preserve">en </w:t>
      </w:r>
      <w:r w:rsidR="00C722FC">
        <w:rPr>
          <w:rFonts w:ascii="Museo Sans 300" w:hAnsi="Museo Sans 300"/>
          <w:sz w:val="22"/>
          <w:szCs w:val="22"/>
          <w:lang w:val="es-MX"/>
        </w:rPr>
        <w:t>junio</w:t>
      </w:r>
      <w:r w:rsidR="00D41F8B" w:rsidRPr="00CD1FD1">
        <w:rPr>
          <w:rFonts w:ascii="Museo Sans 300" w:hAnsi="Museo Sans 300"/>
          <w:sz w:val="22"/>
          <w:szCs w:val="22"/>
          <w:lang w:val="es-MX"/>
        </w:rPr>
        <w:t xml:space="preserve"> </w:t>
      </w:r>
      <w:r w:rsidR="00581B7E" w:rsidRPr="00CD1FD1">
        <w:rPr>
          <w:rFonts w:ascii="Museo Sans 300" w:hAnsi="Museo Sans 300"/>
          <w:sz w:val="22"/>
          <w:szCs w:val="22"/>
          <w:lang w:val="es-MX"/>
        </w:rPr>
        <w:t>2021</w:t>
      </w:r>
      <w:r w:rsidRPr="00CD1FD1">
        <w:rPr>
          <w:rFonts w:ascii="Museo Sans 300" w:hAnsi="Museo Sans 300"/>
          <w:sz w:val="22"/>
          <w:szCs w:val="22"/>
          <w:lang w:val="es-MX"/>
        </w:rPr>
        <w:t>. Con respecto a su composición, el saldo de la deuda externa está concentrado en las Instituciones multilaterales, con $</w:t>
      </w:r>
      <w:r w:rsidR="004923BB" w:rsidRPr="00CD1FD1">
        <w:rPr>
          <w:rFonts w:ascii="Museo Sans 300" w:hAnsi="Museo Sans 300"/>
          <w:sz w:val="22"/>
          <w:szCs w:val="22"/>
          <w:lang w:val="es-MX"/>
        </w:rPr>
        <w:t>5,1</w:t>
      </w:r>
      <w:r w:rsidR="00E0630A">
        <w:rPr>
          <w:rFonts w:ascii="Museo Sans 300" w:hAnsi="Museo Sans 300"/>
          <w:sz w:val="22"/>
          <w:szCs w:val="22"/>
          <w:lang w:val="es-MX"/>
        </w:rPr>
        <w:t>00.2</w:t>
      </w:r>
      <w:r w:rsidRPr="00CD1FD1">
        <w:rPr>
          <w:rFonts w:ascii="Museo Sans 300" w:hAnsi="Museo Sans 300"/>
          <w:sz w:val="22"/>
          <w:szCs w:val="22"/>
          <w:lang w:val="es-MX"/>
        </w:rPr>
        <w:t xml:space="preserve"> millones, destacándose el BID, con $</w:t>
      </w:r>
      <w:r w:rsidR="00F32152" w:rsidRPr="00CD1FD1">
        <w:rPr>
          <w:rFonts w:ascii="Museo Sans 300" w:hAnsi="Museo Sans 300"/>
          <w:sz w:val="22"/>
          <w:szCs w:val="22"/>
          <w:lang w:val="es-MX"/>
        </w:rPr>
        <w:t>2,</w:t>
      </w:r>
      <w:r w:rsidR="004923BB" w:rsidRPr="00CD1FD1">
        <w:rPr>
          <w:rFonts w:ascii="Museo Sans 300" w:hAnsi="Museo Sans 300"/>
          <w:sz w:val="22"/>
          <w:szCs w:val="22"/>
          <w:lang w:val="es-MX"/>
        </w:rPr>
        <w:t>0</w:t>
      </w:r>
      <w:r w:rsidR="00E0630A">
        <w:rPr>
          <w:rFonts w:ascii="Museo Sans 300" w:hAnsi="Museo Sans 300"/>
          <w:sz w:val="22"/>
          <w:szCs w:val="22"/>
          <w:lang w:val="es-MX"/>
        </w:rPr>
        <w:t>48.2</w:t>
      </w:r>
      <w:r w:rsidR="00EC41B4" w:rsidRPr="00CD1FD1">
        <w:rPr>
          <w:rFonts w:ascii="Museo Sans 300" w:hAnsi="Museo Sans 300"/>
          <w:sz w:val="22"/>
          <w:szCs w:val="22"/>
          <w:lang w:val="es-MX"/>
        </w:rPr>
        <w:t xml:space="preserve"> </w:t>
      </w:r>
      <w:r w:rsidRPr="00CD1FD1">
        <w:rPr>
          <w:rFonts w:ascii="Museo Sans 300" w:hAnsi="Museo Sans 300"/>
          <w:sz w:val="22"/>
          <w:szCs w:val="22"/>
          <w:lang w:val="es-MX"/>
        </w:rPr>
        <w:t>millones; el BIRF, con $</w:t>
      </w:r>
      <w:r w:rsidR="00BC69B8" w:rsidRPr="00CD1FD1">
        <w:rPr>
          <w:rFonts w:ascii="Museo Sans 300" w:hAnsi="Museo Sans 300"/>
          <w:sz w:val="22"/>
          <w:szCs w:val="22"/>
          <w:lang w:val="es-MX"/>
        </w:rPr>
        <w:t>7</w:t>
      </w:r>
      <w:r w:rsidR="00E0630A">
        <w:rPr>
          <w:rFonts w:ascii="Museo Sans 300" w:hAnsi="Museo Sans 300"/>
          <w:sz w:val="22"/>
          <w:szCs w:val="22"/>
          <w:lang w:val="es-MX"/>
        </w:rPr>
        <w:t>67.1</w:t>
      </w:r>
      <w:r w:rsidRPr="00CD1FD1">
        <w:rPr>
          <w:rFonts w:ascii="Museo Sans 300" w:hAnsi="Museo Sans 300"/>
          <w:sz w:val="22"/>
          <w:szCs w:val="22"/>
          <w:lang w:val="es-MX"/>
        </w:rPr>
        <w:t xml:space="preserve"> millones y el BCIE, con un saldo de $</w:t>
      </w:r>
      <w:r w:rsidR="004923BB" w:rsidRPr="00CD1FD1">
        <w:rPr>
          <w:rFonts w:ascii="Museo Sans 300" w:hAnsi="Museo Sans 300"/>
          <w:sz w:val="22"/>
          <w:szCs w:val="22"/>
          <w:lang w:val="es-MX"/>
        </w:rPr>
        <w:t>1,8</w:t>
      </w:r>
      <w:r w:rsidR="00E0630A">
        <w:rPr>
          <w:rFonts w:ascii="Museo Sans 300" w:hAnsi="Museo Sans 300"/>
          <w:sz w:val="22"/>
          <w:szCs w:val="22"/>
          <w:lang w:val="es-MX"/>
        </w:rPr>
        <w:t>45.1</w:t>
      </w:r>
      <w:r w:rsidRPr="00CD1FD1">
        <w:rPr>
          <w:rFonts w:ascii="Museo Sans 300" w:hAnsi="Museo Sans 300"/>
          <w:sz w:val="22"/>
          <w:szCs w:val="22"/>
          <w:lang w:val="es-MX"/>
        </w:rPr>
        <w:t xml:space="preserve"> millones, entre otros. La deuda bilateral ascendió a $</w:t>
      </w:r>
      <w:r w:rsidR="00461174" w:rsidRPr="00CD1FD1">
        <w:rPr>
          <w:rFonts w:ascii="Museo Sans 300" w:hAnsi="Museo Sans 300"/>
          <w:sz w:val="22"/>
          <w:szCs w:val="22"/>
          <w:lang w:val="es-MX"/>
        </w:rPr>
        <w:t>3</w:t>
      </w:r>
      <w:r w:rsidR="00BD4F7B" w:rsidRPr="00CD1FD1">
        <w:rPr>
          <w:rFonts w:ascii="Museo Sans 300" w:hAnsi="Museo Sans 300"/>
          <w:sz w:val="22"/>
          <w:szCs w:val="22"/>
          <w:lang w:val="es-MX"/>
        </w:rPr>
        <w:t>4</w:t>
      </w:r>
      <w:r w:rsidR="00E0630A">
        <w:rPr>
          <w:rFonts w:ascii="Museo Sans 300" w:hAnsi="Museo Sans 300"/>
          <w:sz w:val="22"/>
          <w:szCs w:val="22"/>
          <w:lang w:val="es-MX"/>
        </w:rPr>
        <w:t>3.6</w:t>
      </w:r>
      <w:r w:rsidR="00BD7E5E" w:rsidRPr="00CD1FD1">
        <w:rPr>
          <w:rFonts w:ascii="Museo Sans 300" w:hAnsi="Museo Sans 300"/>
          <w:sz w:val="22"/>
          <w:szCs w:val="22"/>
          <w:lang w:val="es-MX"/>
        </w:rPr>
        <w:t xml:space="preserve"> </w:t>
      </w:r>
      <w:r w:rsidRPr="00CD1FD1">
        <w:rPr>
          <w:rFonts w:ascii="Museo Sans 300" w:hAnsi="Museo Sans 300"/>
          <w:sz w:val="22"/>
          <w:szCs w:val="22"/>
          <w:lang w:val="es-MX"/>
        </w:rPr>
        <w:t xml:space="preserve">millones, sobresaliendo </w:t>
      </w:r>
      <w:r w:rsidR="00853AA2" w:rsidRPr="00CD1FD1">
        <w:rPr>
          <w:rFonts w:ascii="Museo Sans 300" w:hAnsi="Museo Sans 300"/>
          <w:sz w:val="22"/>
          <w:szCs w:val="22"/>
          <w:lang w:val="es-MX"/>
        </w:rPr>
        <w:t>Alemania con $</w:t>
      </w:r>
      <w:r w:rsidR="00684C98" w:rsidRPr="00CD1FD1">
        <w:rPr>
          <w:rFonts w:ascii="Museo Sans 300" w:hAnsi="Museo Sans 300"/>
          <w:sz w:val="22"/>
          <w:szCs w:val="22"/>
          <w:lang w:val="es-MX"/>
        </w:rPr>
        <w:t>1</w:t>
      </w:r>
      <w:r w:rsidR="00E0630A">
        <w:rPr>
          <w:rFonts w:ascii="Museo Sans 300" w:hAnsi="Museo Sans 300"/>
          <w:sz w:val="22"/>
          <w:szCs w:val="22"/>
          <w:lang w:val="es-MX"/>
        </w:rPr>
        <w:t>01.9</w:t>
      </w:r>
      <w:r w:rsidR="00853AA2" w:rsidRPr="00CD1FD1">
        <w:rPr>
          <w:rFonts w:ascii="Museo Sans 300" w:hAnsi="Museo Sans 300"/>
          <w:sz w:val="22"/>
          <w:szCs w:val="22"/>
          <w:lang w:val="es-MX"/>
        </w:rPr>
        <w:t xml:space="preserve"> millones y </w:t>
      </w:r>
      <w:r w:rsidRPr="00CD1FD1">
        <w:rPr>
          <w:rFonts w:ascii="Museo Sans 300" w:hAnsi="Museo Sans 300"/>
          <w:sz w:val="22"/>
          <w:szCs w:val="22"/>
          <w:lang w:val="es-MX"/>
        </w:rPr>
        <w:t>Japón con un saldo de $</w:t>
      </w:r>
      <w:r w:rsidR="006B6EC2" w:rsidRPr="00CD1FD1">
        <w:rPr>
          <w:rFonts w:ascii="Museo Sans 300" w:hAnsi="Museo Sans 300"/>
          <w:sz w:val="22"/>
          <w:szCs w:val="22"/>
          <w:lang w:val="es-MX"/>
        </w:rPr>
        <w:t>1</w:t>
      </w:r>
      <w:r w:rsidR="00BD4F7B" w:rsidRPr="00CD1FD1">
        <w:rPr>
          <w:rFonts w:ascii="Museo Sans 300" w:hAnsi="Museo Sans 300"/>
          <w:sz w:val="22"/>
          <w:szCs w:val="22"/>
          <w:lang w:val="es-MX"/>
        </w:rPr>
        <w:t>2</w:t>
      </w:r>
      <w:r w:rsidR="009A6072">
        <w:rPr>
          <w:rFonts w:ascii="Museo Sans 300" w:hAnsi="Museo Sans 300"/>
          <w:sz w:val="22"/>
          <w:szCs w:val="22"/>
          <w:lang w:val="es-MX"/>
        </w:rPr>
        <w:t>4.0</w:t>
      </w:r>
      <w:r w:rsidRPr="00CD1FD1">
        <w:rPr>
          <w:rFonts w:ascii="Museo Sans 300" w:hAnsi="Museo Sans 300"/>
          <w:sz w:val="22"/>
          <w:szCs w:val="22"/>
          <w:lang w:val="es-MX"/>
        </w:rPr>
        <w:t xml:space="preserve"> millones</w:t>
      </w:r>
      <w:r w:rsidR="00672060" w:rsidRPr="00CD1FD1">
        <w:rPr>
          <w:rFonts w:ascii="Museo Sans 300" w:hAnsi="Museo Sans 300"/>
          <w:sz w:val="22"/>
          <w:szCs w:val="22"/>
          <w:lang w:val="es-MX"/>
        </w:rPr>
        <w:t>,</w:t>
      </w:r>
      <w:r w:rsidR="00853AA2" w:rsidRPr="00CD1FD1">
        <w:rPr>
          <w:rFonts w:ascii="Museo Sans 300" w:hAnsi="Museo Sans 300"/>
          <w:sz w:val="22"/>
          <w:szCs w:val="22"/>
          <w:lang w:val="es-MX"/>
        </w:rPr>
        <w:t xml:space="preserve"> entre otros</w:t>
      </w:r>
      <w:r w:rsidRPr="00CD1FD1">
        <w:rPr>
          <w:rFonts w:ascii="Museo Sans 300" w:hAnsi="Museo Sans 300"/>
          <w:sz w:val="22"/>
          <w:szCs w:val="22"/>
          <w:lang w:val="es-MX"/>
        </w:rPr>
        <w:t xml:space="preserve">. Finalmente, los eurobonos en poder de no residentes </w:t>
      </w:r>
      <w:r w:rsidR="00080493" w:rsidRPr="00CD1FD1">
        <w:rPr>
          <w:rFonts w:ascii="Museo Sans 300" w:hAnsi="Museo Sans 300"/>
          <w:sz w:val="22"/>
          <w:szCs w:val="22"/>
          <w:lang w:val="es-MX"/>
        </w:rPr>
        <w:t xml:space="preserve">(deuda comercial) </w:t>
      </w:r>
      <w:r w:rsidRPr="00CD1FD1">
        <w:rPr>
          <w:rFonts w:ascii="Museo Sans 300" w:hAnsi="Museo Sans 300"/>
          <w:sz w:val="22"/>
          <w:szCs w:val="22"/>
          <w:lang w:val="es-MX"/>
        </w:rPr>
        <w:t>ascendieron a $</w:t>
      </w:r>
      <w:r w:rsidR="00BD4F7B" w:rsidRPr="00CD1FD1">
        <w:rPr>
          <w:rFonts w:ascii="Museo Sans 300" w:hAnsi="Museo Sans 300"/>
          <w:sz w:val="22"/>
          <w:szCs w:val="22"/>
          <w:lang w:val="es-MX"/>
        </w:rPr>
        <w:t>5,</w:t>
      </w:r>
      <w:r w:rsidR="009A6072">
        <w:rPr>
          <w:rFonts w:ascii="Museo Sans 300" w:hAnsi="Museo Sans 300"/>
          <w:sz w:val="22"/>
          <w:szCs w:val="22"/>
          <w:lang w:val="es-MX"/>
        </w:rPr>
        <w:t>982.8</w:t>
      </w:r>
      <w:r w:rsidRPr="00CD1FD1">
        <w:rPr>
          <w:rFonts w:ascii="Museo Sans 300" w:hAnsi="Museo Sans 300"/>
          <w:sz w:val="22"/>
          <w:szCs w:val="22"/>
          <w:lang w:val="es-MX"/>
        </w:rPr>
        <w:t xml:space="preserve"> millones.</w:t>
      </w:r>
    </w:p>
    <w:p w14:paraId="735CDEA5" w14:textId="77777777" w:rsidR="002B4222" w:rsidRDefault="002B4222" w:rsidP="00442DE5">
      <w:pPr>
        <w:jc w:val="both"/>
        <w:rPr>
          <w:rFonts w:ascii="Museo Sans 300" w:hAnsi="Museo Sans 300"/>
          <w:sz w:val="22"/>
          <w:szCs w:val="22"/>
          <w:lang w:val="es-MX"/>
        </w:rPr>
      </w:pPr>
    </w:p>
    <w:p w14:paraId="4CD6470B" w14:textId="77777777" w:rsidR="00FC59E9" w:rsidRPr="00CD1FD1" w:rsidRDefault="00FC59E9" w:rsidP="00442DE5">
      <w:pPr>
        <w:jc w:val="both"/>
        <w:rPr>
          <w:rFonts w:ascii="Museo Sans 300" w:hAnsi="Museo Sans 300"/>
          <w:sz w:val="22"/>
          <w:szCs w:val="22"/>
          <w:lang w:val="es-MX"/>
        </w:rPr>
      </w:pPr>
    </w:p>
    <w:p w14:paraId="53704870" w14:textId="77777777" w:rsidR="00442DE5" w:rsidRPr="00CD1FD1" w:rsidRDefault="00442DE5" w:rsidP="004423E5">
      <w:pPr>
        <w:pStyle w:val="Ttulo3"/>
        <w:rPr>
          <w:rFonts w:ascii="Museo Sans 300" w:hAnsi="Museo Sans 300"/>
          <w:b/>
          <w:sz w:val="22"/>
          <w:szCs w:val="22"/>
          <w:lang w:val="es-MX"/>
        </w:rPr>
      </w:pPr>
      <w:r w:rsidRPr="00CD1FD1">
        <w:rPr>
          <w:rFonts w:ascii="Museo Sans 300" w:hAnsi="Museo Sans 300"/>
          <w:b/>
          <w:sz w:val="22"/>
          <w:szCs w:val="22"/>
          <w:lang w:val="es-MX"/>
        </w:rPr>
        <w:t xml:space="preserve">  </w:t>
      </w:r>
      <w:bookmarkStart w:id="55" w:name="_Toc56581217"/>
      <w:bookmarkStart w:id="56" w:name="_Toc116389142"/>
      <w:r w:rsidR="00AA7D08" w:rsidRPr="00CD1FD1">
        <w:rPr>
          <w:rFonts w:ascii="Museo Sans 300" w:hAnsi="Museo Sans 300"/>
          <w:b/>
          <w:sz w:val="22"/>
          <w:szCs w:val="22"/>
          <w:lang w:val="es-MX"/>
        </w:rPr>
        <w:t>3</w:t>
      </w:r>
      <w:r w:rsidR="009B117C" w:rsidRPr="00CD1FD1">
        <w:rPr>
          <w:rFonts w:ascii="Museo Sans 300" w:hAnsi="Museo Sans 300"/>
          <w:b/>
          <w:sz w:val="22"/>
          <w:szCs w:val="22"/>
          <w:lang w:val="es-MX"/>
        </w:rPr>
        <w:t>.</w:t>
      </w:r>
      <w:r w:rsidR="000655D5" w:rsidRPr="00CD1FD1">
        <w:rPr>
          <w:rFonts w:ascii="Museo Sans 300" w:hAnsi="Museo Sans 300"/>
          <w:b/>
          <w:sz w:val="22"/>
          <w:szCs w:val="22"/>
          <w:lang w:val="es-MX"/>
        </w:rPr>
        <w:t>3</w:t>
      </w:r>
      <w:r w:rsidR="009B117C" w:rsidRPr="00CD1FD1">
        <w:rPr>
          <w:rFonts w:ascii="Museo Sans 300" w:hAnsi="Museo Sans 300"/>
          <w:b/>
          <w:sz w:val="22"/>
          <w:szCs w:val="22"/>
          <w:lang w:val="es-MX"/>
        </w:rPr>
        <w:t xml:space="preserve"> </w:t>
      </w:r>
      <w:r w:rsidRPr="00CD1FD1">
        <w:rPr>
          <w:rFonts w:ascii="Museo Sans 300" w:hAnsi="Museo Sans 300"/>
          <w:b/>
          <w:sz w:val="22"/>
          <w:szCs w:val="22"/>
          <w:lang w:val="es-MX"/>
        </w:rPr>
        <w:t>Servicio de la deuda</w:t>
      </w:r>
      <w:r w:rsidR="00170BAE" w:rsidRPr="00CD1FD1">
        <w:rPr>
          <w:rFonts w:ascii="Museo Sans 300" w:hAnsi="Museo Sans 300"/>
          <w:b/>
          <w:sz w:val="22"/>
          <w:szCs w:val="22"/>
          <w:lang w:val="es-MX"/>
        </w:rPr>
        <w:t xml:space="preserve"> del SPNF</w:t>
      </w:r>
      <w:bookmarkEnd w:id="55"/>
      <w:bookmarkEnd w:id="56"/>
    </w:p>
    <w:p w14:paraId="1597C98E" w14:textId="77777777" w:rsidR="00D6481A" w:rsidRDefault="00D6481A" w:rsidP="00BD4F7B">
      <w:pPr>
        <w:ind w:right="-32"/>
        <w:jc w:val="both"/>
        <w:outlineLvl w:val="0"/>
        <w:rPr>
          <w:rFonts w:ascii="Museo Sans 300" w:hAnsi="Museo Sans 300"/>
          <w:sz w:val="22"/>
          <w:szCs w:val="22"/>
          <w:lang w:val="es-MX"/>
        </w:rPr>
      </w:pPr>
      <w:bookmarkStart w:id="57" w:name="_Toc112071235"/>
      <w:bookmarkStart w:id="58" w:name="_Toc112071395"/>
      <w:bookmarkStart w:id="59" w:name="_Toc112071557"/>
      <w:bookmarkStart w:id="60" w:name="_Toc56581219"/>
    </w:p>
    <w:p w14:paraId="7B1C1065" w14:textId="77777777" w:rsidR="004132CF" w:rsidRDefault="004132CF" w:rsidP="004132CF">
      <w:pPr>
        <w:jc w:val="both"/>
        <w:rPr>
          <w:rFonts w:ascii="Museo Sans 300" w:hAnsi="Museo Sans 300"/>
          <w:sz w:val="22"/>
          <w:szCs w:val="22"/>
          <w:lang w:val="es-MX"/>
        </w:rPr>
      </w:pPr>
      <w:r w:rsidRPr="004132CF">
        <w:rPr>
          <w:rFonts w:ascii="Museo Sans 300" w:hAnsi="Museo Sans 300"/>
          <w:sz w:val="22"/>
          <w:szCs w:val="22"/>
          <w:lang w:val="es-MX"/>
        </w:rPr>
        <w:t xml:space="preserve">El servicio de deuda asciende a un total de $2,034.2 millones, los cuales se distribuyen de la siguiente forma: se han efectuado amortizaciones acumuladas al mes de junio 2022 por un </w:t>
      </w:r>
      <w:r w:rsidRPr="004132CF">
        <w:rPr>
          <w:rFonts w:ascii="Museo Sans 300" w:hAnsi="Museo Sans 300"/>
          <w:sz w:val="22"/>
          <w:szCs w:val="22"/>
          <w:lang w:val="es-MX"/>
        </w:rPr>
        <w:lastRenderedPageBreak/>
        <w:t xml:space="preserve">valor de $1,296.2 millones, de las que corresponden </w:t>
      </w:r>
      <w:r w:rsidRPr="00285FD5">
        <w:rPr>
          <w:rFonts w:ascii="Museo Sans 300" w:hAnsi="Museo Sans 300"/>
          <w:sz w:val="22"/>
          <w:szCs w:val="22"/>
          <w:lang w:val="es-MX"/>
        </w:rPr>
        <w:t>a deuda interna $1,143.0 millones</w:t>
      </w:r>
      <w:r w:rsidR="005A161D">
        <w:rPr>
          <w:rFonts w:ascii="Museo Sans 300" w:hAnsi="Museo Sans 300"/>
          <w:sz w:val="22"/>
          <w:szCs w:val="22"/>
          <w:lang w:val="es-MX"/>
        </w:rPr>
        <w:t xml:space="preserve"> </w:t>
      </w:r>
      <w:r w:rsidR="004A38F1">
        <w:rPr>
          <w:rFonts w:ascii="Museo Sans 300" w:hAnsi="Museo Sans 300"/>
          <w:sz w:val="22"/>
          <w:szCs w:val="22"/>
          <w:lang w:val="es-MX"/>
        </w:rPr>
        <w:t>(incluye $866.3 millones de LETES y $234.5 millones de CETES)</w:t>
      </w:r>
      <w:r w:rsidRPr="004132CF">
        <w:rPr>
          <w:rFonts w:ascii="Museo Sans 300" w:hAnsi="Museo Sans 300"/>
          <w:sz w:val="22"/>
          <w:szCs w:val="22"/>
          <w:lang w:val="es-MX"/>
        </w:rPr>
        <w:t>. Por su parte, las amortizaciones efectuadas al sector externo ascienden a $153.3 millones. El pago de intereses ascendió a $738.0 millones, de los cuales $386.2 millones corresponden a deuda interna y el pago de intereses por préstamos externos asciende a $351.8 millones</w:t>
      </w:r>
    </w:p>
    <w:p w14:paraId="7EADDB4A" w14:textId="77777777" w:rsidR="004132CF" w:rsidRDefault="004132CF" w:rsidP="00D6481A">
      <w:pPr>
        <w:rPr>
          <w:rFonts w:ascii="Museo Sans 300" w:hAnsi="Museo Sans 300"/>
          <w:sz w:val="22"/>
          <w:szCs w:val="22"/>
          <w:lang w:val="es-MX"/>
        </w:rPr>
      </w:pPr>
    </w:p>
    <w:bookmarkEnd w:id="57"/>
    <w:bookmarkEnd w:id="58"/>
    <w:bookmarkEnd w:id="59"/>
    <w:bookmarkEnd w:id="60"/>
    <w:p w14:paraId="6EC29599" w14:textId="77777777" w:rsidR="004249A7" w:rsidRPr="00CD1FD1" w:rsidRDefault="004249A7" w:rsidP="009F1B61">
      <w:pPr>
        <w:jc w:val="both"/>
        <w:rPr>
          <w:rFonts w:ascii="Museo Sans 300" w:hAnsi="Museo Sans 300"/>
          <w:sz w:val="22"/>
          <w:szCs w:val="22"/>
          <w:lang w:val="es-MX"/>
        </w:rPr>
      </w:pPr>
    </w:p>
    <w:p w14:paraId="39F20831" w14:textId="77777777" w:rsidR="00BE54F5" w:rsidRDefault="005537E5" w:rsidP="00197782">
      <w:pPr>
        <w:pStyle w:val="Ttulo2"/>
        <w:spacing w:before="0"/>
        <w:rPr>
          <w:rFonts w:ascii="Museo Sans 300" w:hAnsi="Museo Sans 300"/>
          <w:b/>
          <w:sz w:val="22"/>
          <w:szCs w:val="22"/>
          <w:lang w:val="es-MX"/>
        </w:rPr>
      </w:pPr>
      <w:bookmarkStart w:id="61" w:name="_Toc411843467"/>
      <w:bookmarkStart w:id="62" w:name="_Toc505951458"/>
      <w:r w:rsidRPr="00CD1FD1">
        <w:rPr>
          <w:rFonts w:ascii="Museo Sans 300" w:hAnsi="Museo Sans 300"/>
          <w:sz w:val="22"/>
          <w:szCs w:val="22"/>
          <w:lang w:val="es-MX"/>
        </w:rPr>
        <w:t xml:space="preserve"> </w:t>
      </w:r>
      <w:bookmarkStart w:id="63" w:name="_Toc56581221"/>
      <w:bookmarkStart w:id="64" w:name="_Toc116389143"/>
      <w:r w:rsidR="00AA7D08" w:rsidRPr="00CD1FD1">
        <w:rPr>
          <w:rFonts w:ascii="Museo Sans 300" w:hAnsi="Museo Sans 300"/>
          <w:b/>
          <w:sz w:val="22"/>
          <w:szCs w:val="22"/>
          <w:lang w:val="es-MX"/>
        </w:rPr>
        <w:t>4</w:t>
      </w:r>
      <w:r w:rsidR="009B117C" w:rsidRPr="00CD1FD1">
        <w:rPr>
          <w:rFonts w:ascii="Museo Sans 300" w:hAnsi="Museo Sans 300"/>
          <w:b/>
          <w:sz w:val="22"/>
          <w:szCs w:val="22"/>
          <w:lang w:val="es-MX"/>
        </w:rPr>
        <w:t xml:space="preserve">. </w:t>
      </w:r>
      <w:r w:rsidR="00D752AF" w:rsidRPr="00CD1FD1">
        <w:rPr>
          <w:rFonts w:ascii="Museo Sans 300" w:hAnsi="Museo Sans 300"/>
          <w:b/>
          <w:sz w:val="22"/>
          <w:szCs w:val="22"/>
          <w:lang w:val="es-MX"/>
        </w:rPr>
        <w:t>R</w:t>
      </w:r>
      <w:r w:rsidR="00BE54F5" w:rsidRPr="00CD1FD1">
        <w:rPr>
          <w:rFonts w:ascii="Museo Sans 300" w:hAnsi="Museo Sans 300"/>
          <w:b/>
          <w:sz w:val="22"/>
          <w:szCs w:val="22"/>
          <w:lang w:val="es-MX"/>
        </w:rPr>
        <w:t>esultados</w:t>
      </w:r>
      <w:bookmarkEnd w:id="61"/>
      <w:r w:rsidR="00C20E39" w:rsidRPr="00CD1FD1">
        <w:rPr>
          <w:rFonts w:ascii="Museo Sans 300" w:hAnsi="Museo Sans 300"/>
          <w:b/>
          <w:sz w:val="22"/>
          <w:szCs w:val="22"/>
          <w:lang w:val="es-MX"/>
        </w:rPr>
        <w:t xml:space="preserve"> Globales del SPNF</w:t>
      </w:r>
      <w:bookmarkEnd w:id="62"/>
      <w:bookmarkEnd w:id="63"/>
      <w:r w:rsidR="00404593" w:rsidRPr="00CD1FD1">
        <w:rPr>
          <w:rFonts w:ascii="Museo Sans 300" w:hAnsi="Museo Sans 300"/>
          <w:b/>
          <w:sz w:val="22"/>
          <w:szCs w:val="22"/>
          <w:lang w:val="es-MX"/>
        </w:rPr>
        <w:t xml:space="preserve"> (ver anexo 1 y 2)</w:t>
      </w:r>
      <w:bookmarkEnd w:id="64"/>
    </w:p>
    <w:p w14:paraId="15311226" w14:textId="77777777" w:rsidR="00197782" w:rsidRPr="00197782" w:rsidRDefault="00197782" w:rsidP="00197782">
      <w:pPr>
        <w:rPr>
          <w:sz w:val="12"/>
          <w:szCs w:val="12"/>
          <w:lang w:val="es-MX"/>
        </w:rPr>
      </w:pPr>
    </w:p>
    <w:p w14:paraId="1692072F" w14:textId="77777777" w:rsidR="005B3920" w:rsidRPr="00CD1FD1" w:rsidRDefault="00442DE5" w:rsidP="00197782">
      <w:pPr>
        <w:pStyle w:val="Ttulo3"/>
        <w:rPr>
          <w:rFonts w:ascii="Museo Sans 300" w:hAnsi="Museo Sans 300"/>
          <w:b/>
          <w:sz w:val="22"/>
          <w:szCs w:val="22"/>
          <w:lang w:val="es-MX"/>
        </w:rPr>
      </w:pPr>
      <w:bookmarkStart w:id="65" w:name="_Toc411843468"/>
      <w:r w:rsidRPr="00CD1FD1">
        <w:rPr>
          <w:rFonts w:ascii="Museo Sans 300" w:hAnsi="Museo Sans 300"/>
          <w:b/>
          <w:sz w:val="22"/>
          <w:szCs w:val="22"/>
          <w:lang w:val="es-MX"/>
        </w:rPr>
        <w:t xml:space="preserve"> </w:t>
      </w:r>
      <w:bookmarkStart w:id="66" w:name="_Toc411843469"/>
      <w:bookmarkStart w:id="67" w:name="_Toc56581223"/>
      <w:bookmarkStart w:id="68" w:name="_Toc116389144"/>
      <w:bookmarkEnd w:id="65"/>
      <w:r w:rsidR="00085376" w:rsidRPr="00CD1FD1">
        <w:rPr>
          <w:rFonts w:ascii="Museo Sans 300" w:hAnsi="Museo Sans 300"/>
          <w:b/>
          <w:sz w:val="22"/>
          <w:szCs w:val="22"/>
          <w:lang w:val="es-MX"/>
        </w:rPr>
        <w:t xml:space="preserve">4.1 </w:t>
      </w:r>
      <w:bookmarkEnd w:id="66"/>
      <w:bookmarkEnd w:id="67"/>
      <w:r w:rsidR="005B3920" w:rsidRPr="00CD1FD1">
        <w:rPr>
          <w:rFonts w:ascii="Museo Sans 300" w:hAnsi="Museo Sans 300"/>
          <w:b/>
          <w:sz w:val="22"/>
          <w:szCs w:val="22"/>
          <w:lang w:val="es-MX"/>
        </w:rPr>
        <w:t>Balance Primario</w:t>
      </w:r>
      <w:bookmarkEnd w:id="68"/>
    </w:p>
    <w:p w14:paraId="7B2A6592" w14:textId="77777777" w:rsidR="005B3920" w:rsidRPr="00CD1FD1" w:rsidRDefault="005B3920" w:rsidP="00197782">
      <w:pPr>
        <w:jc w:val="both"/>
        <w:rPr>
          <w:rFonts w:ascii="Museo Sans 300" w:hAnsi="Museo Sans 300"/>
          <w:sz w:val="22"/>
          <w:szCs w:val="22"/>
          <w:lang w:val="es-MX"/>
        </w:rPr>
      </w:pPr>
    </w:p>
    <w:p w14:paraId="24878787" w14:textId="77777777" w:rsidR="005B3920" w:rsidRPr="00CD1FD1" w:rsidRDefault="005B3920" w:rsidP="005B3920">
      <w:pPr>
        <w:jc w:val="both"/>
        <w:rPr>
          <w:rFonts w:ascii="Museo Sans 300" w:hAnsi="Museo Sans 300"/>
          <w:sz w:val="22"/>
          <w:szCs w:val="22"/>
          <w:lang w:val="es-MX"/>
        </w:rPr>
      </w:pPr>
      <w:r w:rsidRPr="00CD1FD1">
        <w:rPr>
          <w:rFonts w:ascii="Museo Sans 300" w:hAnsi="Museo Sans 300"/>
          <w:sz w:val="22"/>
          <w:szCs w:val="22"/>
          <w:lang w:val="es-MX"/>
        </w:rPr>
        <w:t>El balance primario</w:t>
      </w:r>
      <w:r w:rsidRPr="00CD1FD1">
        <w:rPr>
          <w:rFonts w:ascii="Museo Sans 300" w:hAnsi="Museo Sans 300"/>
          <w:sz w:val="22"/>
          <w:szCs w:val="22"/>
          <w:vertAlign w:val="superscript"/>
          <w:lang w:val="es-MX"/>
        </w:rPr>
        <w:footnoteReference w:id="1"/>
      </w:r>
      <w:r w:rsidRPr="00CD1FD1">
        <w:rPr>
          <w:rFonts w:ascii="Museo Sans 300" w:hAnsi="Museo Sans 300"/>
          <w:sz w:val="22"/>
          <w:szCs w:val="22"/>
          <w:lang w:val="es-MX"/>
        </w:rPr>
        <w:t xml:space="preserve"> (con pensiones) </w:t>
      </w:r>
      <w:r w:rsidR="00355D4B"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Pr="00CD1FD1">
        <w:rPr>
          <w:rFonts w:ascii="Museo Sans 300" w:hAnsi="Museo Sans 300"/>
          <w:sz w:val="22"/>
          <w:szCs w:val="22"/>
          <w:lang w:val="es-MX"/>
        </w:rPr>
        <w:t>, obtuvo un resultado de $</w:t>
      </w:r>
      <w:r w:rsidR="004132CF">
        <w:rPr>
          <w:rFonts w:ascii="Museo Sans 300" w:hAnsi="Museo Sans 300"/>
          <w:sz w:val="22"/>
          <w:szCs w:val="22"/>
          <w:lang w:val="es-MX"/>
        </w:rPr>
        <w:t>676.7</w:t>
      </w:r>
      <w:r w:rsidRPr="00CD1FD1">
        <w:rPr>
          <w:rFonts w:ascii="Museo Sans 300" w:hAnsi="Museo Sans 300"/>
          <w:sz w:val="22"/>
          <w:szCs w:val="22"/>
          <w:lang w:val="es-MX"/>
        </w:rPr>
        <w:t xml:space="preserve"> millones, siendo m</w:t>
      </w:r>
      <w:r w:rsidR="00BD4F7B" w:rsidRPr="00CD1FD1">
        <w:rPr>
          <w:rFonts w:ascii="Museo Sans 300" w:hAnsi="Museo Sans 300"/>
          <w:sz w:val="22"/>
          <w:szCs w:val="22"/>
          <w:lang w:val="es-MX"/>
        </w:rPr>
        <w:t xml:space="preserve">ayor </w:t>
      </w:r>
      <w:r w:rsidRPr="00CD1FD1">
        <w:rPr>
          <w:rFonts w:ascii="Museo Sans 300" w:hAnsi="Museo Sans 300"/>
          <w:sz w:val="22"/>
          <w:szCs w:val="22"/>
          <w:lang w:val="es-MX"/>
        </w:rPr>
        <w:t>en $</w:t>
      </w:r>
      <w:r w:rsidR="004132CF">
        <w:rPr>
          <w:rFonts w:ascii="Museo Sans 300" w:hAnsi="Museo Sans 300"/>
          <w:sz w:val="22"/>
          <w:szCs w:val="22"/>
          <w:lang w:val="es-MX"/>
        </w:rPr>
        <w:t>525.2</w:t>
      </w:r>
      <w:r w:rsidRPr="00CD1FD1">
        <w:rPr>
          <w:rFonts w:ascii="Museo Sans 300" w:hAnsi="Museo Sans 300"/>
          <w:sz w:val="22"/>
          <w:szCs w:val="22"/>
          <w:lang w:val="es-MX"/>
        </w:rPr>
        <w:t xml:space="preserve"> millones respecto al superávit obtenido </w:t>
      </w:r>
      <w:r w:rsidR="00355D4B"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w:t>
      </w:r>
      <w:r w:rsidR="00DA1707" w:rsidRPr="00CD1FD1">
        <w:rPr>
          <w:rFonts w:ascii="Museo Sans 300" w:hAnsi="Museo Sans 300"/>
          <w:sz w:val="22"/>
          <w:szCs w:val="22"/>
          <w:lang w:val="es-MX"/>
        </w:rPr>
        <w:t>1</w:t>
      </w:r>
      <w:r w:rsidRPr="00CD1FD1">
        <w:rPr>
          <w:rFonts w:ascii="Museo Sans 300" w:hAnsi="Museo Sans 300"/>
          <w:sz w:val="22"/>
          <w:szCs w:val="22"/>
          <w:lang w:val="es-MX"/>
        </w:rPr>
        <w:t xml:space="preserve">. En términos del PIB fue equivalente al </w:t>
      </w:r>
      <w:r w:rsidR="004132CF">
        <w:rPr>
          <w:rFonts w:ascii="Museo Sans 300" w:hAnsi="Museo Sans 300"/>
          <w:sz w:val="22"/>
          <w:szCs w:val="22"/>
          <w:lang w:val="es-MX"/>
        </w:rPr>
        <w:t>2.2</w:t>
      </w:r>
      <w:r w:rsidRPr="00CD1FD1">
        <w:rPr>
          <w:rFonts w:ascii="Museo Sans 300" w:hAnsi="Museo Sans 300"/>
          <w:sz w:val="22"/>
          <w:szCs w:val="22"/>
          <w:lang w:val="es-MX"/>
        </w:rPr>
        <w:t>% m</w:t>
      </w:r>
      <w:r w:rsidR="00BD4F7B" w:rsidRPr="00CD1FD1">
        <w:rPr>
          <w:rFonts w:ascii="Museo Sans 300" w:hAnsi="Museo Sans 300"/>
          <w:sz w:val="22"/>
          <w:szCs w:val="22"/>
          <w:lang w:val="es-MX"/>
        </w:rPr>
        <w:t>ayor</w:t>
      </w:r>
      <w:r w:rsidRPr="00CD1FD1">
        <w:rPr>
          <w:rFonts w:ascii="Museo Sans 300" w:hAnsi="Museo Sans 300"/>
          <w:sz w:val="22"/>
          <w:szCs w:val="22"/>
          <w:lang w:val="es-MX"/>
        </w:rPr>
        <w:t xml:space="preserve"> en </w:t>
      </w:r>
      <w:r w:rsidR="004132CF">
        <w:rPr>
          <w:rFonts w:ascii="Museo Sans 300" w:hAnsi="Museo Sans 300"/>
          <w:sz w:val="22"/>
          <w:szCs w:val="22"/>
          <w:lang w:val="es-MX"/>
        </w:rPr>
        <w:t>1</w:t>
      </w:r>
      <w:r w:rsidRPr="00CD1FD1">
        <w:rPr>
          <w:rFonts w:ascii="Museo Sans 300" w:hAnsi="Museo Sans 300"/>
          <w:sz w:val="22"/>
          <w:szCs w:val="22"/>
          <w:lang w:val="es-MX"/>
        </w:rPr>
        <w:t>.</w:t>
      </w:r>
      <w:r w:rsidR="00BD4F7B" w:rsidRPr="00CD1FD1">
        <w:rPr>
          <w:rFonts w:ascii="Museo Sans 300" w:hAnsi="Museo Sans 300"/>
          <w:sz w:val="22"/>
          <w:szCs w:val="22"/>
          <w:lang w:val="es-MX"/>
        </w:rPr>
        <w:t>7</w:t>
      </w:r>
      <w:r w:rsidRPr="00CD1FD1">
        <w:rPr>
          <w:rFonts w:ascii="Museo Sans 300" w:hAnsi="Museo Sans 300"/>
          <w:sz w:val="22"/>
          <w:szCs w:val="22"/>
          <w:lang w:val="es-MX"/>
        </w:rPr>
        <w:t xml:space="preserve"> puntos al obtenido en el año anterior.</w:t>
      </w:r>
    </w:p>
    <w:p w14:paraId="7E6718AF" w14:textId="77777777" w:rsidR="009E7475" w:rsidRPr="00CD1FD1" w:rsidRDefault="009E7475" w:rsidP="00840A08">
      <w:pPr>
        <w:jc w:val="both"/>
        <w:rPr>
          <w:rFonts w:ascii="Museo Sans 300" w:hAnsi="Museo Sans 300"/>
          <w:sz w:val="22"/>
          <w:szCs w:val="22"/>
          <w:lang w:val="es-MX"/>
        </w:rPr>
      </w:pPr>
    </w:p>
    <w:p w14:paraId="542AFF30" w14:textId="77777777" w:rsidR="00EE4073" w:rsidRDefault="0049611D" w:rsidP="0049611D">
      <w:pPr>
        <w:jc w:val="center"/>
        <w:rPr>
          <w:rFonts w:ascii="Museo Sans 300" w:hAnsi="Museo Sans 300"/>
          <w:sz w:val="22"/>
          <w:szCs w:val="22"/>
          <w:lang w:val="es-MX"/>
        </w:rPr>
      </w:pPr>
      <w:r w:rsidRPr="00CD1FD1">
        <w:rPr>
          <w:rFonts w:ascii="Museo Sans 300" w:hAnsi="Museo Sans 300"/>
          <w:sz w:val="22"/>
          <w:szCs w:val="22"/>
          <w:lang w:val="es-MX"/>
        </w:rPr>
        <w:t xml:space="preserve">Gráfico </w:t>
      </w:r>
      <w:r w:rsidR="003F74EF">
        <w:rPr>
          <w:rFonts w:ascii="Museo Sans 300" w:hAnsi="Museo Sans 300"/>
          <w:sz w:val="22"/>
          <w:szCs w:val="22"/>
          <w:lang w:val="es-MX"/>
        </w:rPr>
        <w:t>9</w:t>
      </w:r>
      <w:r w:rsidRPr="00CD1FD1">
        <w:rPr>
          <w:rFonts w:ascii="Museo Sans 300" w:hAnsi="Museo Sans 300"/>
          <w:sz w:val="22"/>
          <w:szCs w:val="22"/>
          <w:lang w:val="es-MX"/>
        </w:rPr>
        <w:t xml:space="preserve"> Balance Primario </w:t>
      </w:r>
      <w:r w:rsidRPr="0012688D">
        <w:rPr>
          <w:rFonts w:ascii="Museo Sans 300" w:hAnsi="Museo Sans 300"/>
          <w:sz w:val="22"/>
          <w:szCs w:val="22"/>
          <w:lang w:val="es-MX"/>
        </w:rPr>
        <w:t xml:space="preserve">del SPNF a </w:t>
      </w:r>
      <w:r w:rsidR="00C722FC">
        <w:rPr>
          <w:rFonts w:ascii="Museo Sans 300" w:hAnsi="Museo Sans 300"/>
          <w:sz w:val="22"/>
          <w:szCs w:val="22"/>
          <w:lang w:val="es-MX"/>
        </w:rPr>
        <w:t>junio</w:t>
      </w:r>
      <w:r w:rsidRPr="0012688D">
        <w:rPr>
          <w:rFonts w:ascii="Museo Sans 300" w:hAnsi="Museo Sans 300"/>
          <w:sz w:val="22"/>
          <w:szCs w:val="22"/>
          <w:lang w:val="es-MX"/>
        </w:rPr>
        <w:t xml:space="preserve"> 2014-2022</w:t>
      </w:r>
    </w:p>
    <w:p w14:paraId="108CB9F8" w14:textId="77777777" w:rsidR="0049611D" w:rsidRPr="00EE4073" w:rsidRDefault="0049611D" w:rsidP="0049611D">
      <w:pPr>
        <w:jc w:val="center"/>
        <w:rPr>
          <w:rFonts w:ascii="Museo Sans 300" w:hAnsi="Museo Sans 300"/>
          <w:color w:val="FF0000"/>
          <w:sz w:val="22"/>
          <w:szCs w:val="22"/>
          <w:lang w:val="es-MX"/>
        </w:rPr>
      </w:pPr>
      <w:r w:rsidRPr="00CD1FD1">
        <w:rPr>
          <w:rFonts w:ascii="Museo Sans 300" w:hAnsi="Museo Sans 300"/>
          <w:sz w:val="22"/>
          <w:szCs w:val="22"/>
          <w:lang w:val="es-MX"/>
        </w:rPr>
        <w:t xml:space="preserve"> </w:t>
      </w:r>
      <w:r w:rsidR="00EE4073">
        <w:rPr>
          <w:rFonts w:ascii="Museo Sans 300" w:hAnsi="Museo Sans 300"/>
          <w:sz w:val="22"/>
          <w:szCs w:val="22"/>
          <w:lang w:val="es-MX"/>
        </w:rPr>
        <w:t xml:space="preserve"> </w:t>
      </w:r>
    </w:p>
    <w:p w14:paraId="01C7174B" w14:textId="77777777" w:rsidR="000E0CCD" w:rsidRPr="00CD1FD1" w:rsidRDefault="00B56379" w:rsidP="00FC59E9">
      <w:pPr>
        <w:jc w:val="center"/>
        <w:rPr>
          <w:rFonts w:ascii="Museo Sans 300" w:hAnsi="Museo Sans 300"/>
          <w:sz w:val="22"/>
          <w:szCs w:val="22"/>
          <w:lang w:val="es-MX"/>
        </w:rPr>
      </w:pPr>
      <w:r w:rsidRPr="00B56379">
        <w:rPr>
          <w:noProof/>
        </w:rPr>
        <w:drawing>
          <wp:inline distT="0" distB="0" distL="0" distR="0" wp14:anchorId="2B6526C3" wp14:editId="628CD25E">
            <wp:extent cx="5056094" cy="30302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6829" cy="3054693"/>
                    </a:xfrm>
                    <a:prstGeom prst="rect">
                      <a:avLst/>
                    </a:prstGeom>
                    <a:noFill/>
                    <a:ln>
                      <a:noFill/>
                    </a:ln>
                  </pic:spPr>
                </pic:pic>
              </a:graphicData>
            </a:graphic>
          </wp:inline>
        </w:drawing>
      </w:r>
    </w:p>
    <w:p w14:paraId="4DD55490" w14:textId="77777777" w:rsidR="00E95BC9" w:rsidRPr="00F775B5" w:rsidRDefault="00E95BC9" w:rsidP="00386BC0">
      <w:pPr>
        <w:jc w:val="center"/>
        <w:rPr>
          <w:rFonts w:ascii="Museo Sans 300" w:hAnsi="Museo Sans 300"/>
          <w:sz w:val="12"/>
          <w:szCs w:val="12"/>
          <w:lang w:val="es-MX"/>
        </w:rPr>
      </w:pPr>
    </w:p>
    <w:p w14:paraId="0C19FAA0" w14:textId="77777777" w:rsidR="00D752AF" w:rsidRPr="00CD1FD1" w:rsidRDefault="00442DE5" w:rsidP="004423E5">
      <w:pPr>
        <w:pStyle w:val="Ttulo3"/>
        <w:rPr>
          <w:rFonts w:ascii="Museo Sans 300" w:hAnsi="Museo Sans 300"/>
          <w:b/>
          <w:sz w:val="22"/>
          <w:szCs w:val="22"/>
          <w:lang w:val="es-MX"/>
        </w:rPr>
      </w:pPr>
      <w:bookmarkStart w:id="69" w:name="_Toc411843470"/>
      <w:r w:rsidRPr="00CD1FD1">
        <w:rPr>
          <w:rFonts w:ascii="Museo Sans 300" w:hAnsi="Museo Sans 300"/>
          <w:b/>
          <w:sz w:val="22"/>
          <w:szCs w:val="22"/>
          <w:lang w:val="es-MX"/>
        </w:rPr>
        <w:t xml:space="preserve"> </w:t>
      </w:r>
      <w:bookmarkStart w:id="70" w:name="_Toc56581224"/>
      <w:bookmarkStart w:id="71" w:name="_Toc116389145"/>
      <w:r w:rsidR="00AA7D08" w:rsidRPr="00CD1FD1">
        <w:rPr>
          <w:rFonts w:ascii="Museo Sans 300" w:hAnsi="Museo Sans 300"/>
          <w:b/>
          <w:sz w:val="22"/>
          <w:szCs w:val="22"/>
          <w:lang w:val="es-MX"/>
        </w:rPr>
        <w:t>4</w:t>
      </w:r>
      <w:r w:rsidR="009B117C" w:rsidRPr="00CD1FD1">
        <w:rPr>
          <w:rFonts w:ascii="Museo Sans 300" w:hAnsi="Museo Sans 300"/>
          <w:b/>
          <w:sz w:val="22"/>
          <w:szCs w:val="22"/>
          <w:lang w:val="es-MX"/>
        </w:rPr>
        <w:t>.</w:t>
      </w:r>
      <w:r w:rsidR="00DB11D8" w:rsidRPr="00CD1FD1">
        <w:rPr>
          <w:rFonts w:ascii="Museo Sans 300" w:hAnsi="Museo Sans 300"/>
          <w:b/>
          <w:sz w:val="22"/>
          <w:szCs w:val="22"/>
          <w:lang w:val="es-MX"/>
        </w:rPr>
        <w:t>2</w:t>
      </w:r>
      <w:r w:rsidR="009B117C" w:rsidRPr="00CD1FD1">
        <w:rPr>
          <w:rFonts w:ascii="Museo Sans 300" w:hAnsi="Museo Sans 300"/>
          <w:b/>
          <w:sz w:val="22"/>
          <w:szCs w:val="22"/>
          <w:lang w:val="es-MX"/>
        </w:rPr>
        <w:t xml:space="preserve"> </w:t>
      </w:r>
      <w:r w:rsidR="00D752AF" w:rsidRPr="00CD1FD1">
        <w:rPr>
          <w:rFonts w:ascii="Museo Sans 300" w:hAnsi="Museo Sans 300"/>
          <w:b/>
          <w:sz w:val="22"/>
          <w:szCs w:val="22"/>
          <w:lang w:val="es-MX"/>
        </w:rPr>
        <w:t>Balance global</w:t>
      </w:r>
      <w:bookmarkEnd w:id="70"/>
      <w:bookmarkEnd w:id="71"/>
    </w:p>
    <w:p w14:paraId="5BB07C3A" w14:textId="77777777" w:rsidR="00D752AF" w:rsidRPr="00F775B5" w:rsidRDefault="00D752AF" w:rsidP="004A685A">
      <w:pPr>
        <w:jc w:val="both"/>
        <w:rPr>
          <w:rFonts w:ascii="Museo Sans 300" w:hAnsi="Museo Sans 300"/>
          <w:sz w:val="12"/>
          <w:szCs w:val="12"/>
          <w:lang w:val="es-MX"/>
        </w:rPr>
      </w:pPr>
    </w:p>
    <w:bookmarkEnd w:id="69"/>
    <w:p w14:paraId="1C9AAE70" w14:textId="77777777" w:rsidR="00F077AF" w:rsidRPr="00CD1FD1" w:rsidRDefault="002F28DF" w:rsidP="00F077AF">
      <w:pPr>
        <w:jc w:val="both"/>
        <w:rPr>
          <w:rFonts w:ascii="Museo Sans 300" w:hAnsi="Museo Sans 300"/>
          <w:sz w:val="22"/>
          <w:szCs w:val="22"/>
          <w:lang w:val="es-MX"/>
        </w:rPr>
      </w:pPr>
      <w:r w:rsidRPr="00CD1FD1">
        <w:rPr>
          <w:rFonts w:ascii="Museo Sans 300" w:hAnsi="Museo Sans 300"/>
          <w:sz w:val="22"/>
          <w:szCs w:val="22"/>
          <w:lang w:val="es-MX"/>
        </w:rPr>
        <w:t>Las operaciones financieras consolidadas</w:t>
      </w:r>
      <w:r w:rsidR="007A4225" w:rsidRPr="00CD1FD1">
        <w:rPr>
          <w:rFonts w:ascii="Museo Sans 300" w:hAnsi="Museo Sans 300"/>
          <w:sz w:val="22"/>
          <w:szCs w:val="22"/>
          <w:lang w:val="es-MX"/>
        </w:rPr>
        <w:t xml:space="preserve"> </w:t>
      </w:r>
      <w:r w:rsidR="00BE54F5" w:rsidRPr="00CD1FD1">
        <w:rPr>
          <w:rFonts w:ascii="Museo Sans 300" w:hAnsi="Museo Sans 300"/>
          <w:sz w:val="22"/>
          <w:szCs w:val="22"/>
          <w:lang w:val="es-MX"/>
        </w:rPr>
        <w:t xml:space="preserve">del SPNF </w:t>
      </w:r>
      <w:r w:rsidR="00355D4B" w:rsidRPr="00CD1FD1">
        <w:rPr>
          <w:rFonts w:ascii="Museo Sans 300" w:hAnsi="Museo Sans 300"/>
          <w:sz w:val="22"/>
          <w:szCs w:val="22"/>
          <w:lang w:val="es-MX"/>
        </w:rPr>
        <w:t xml:space="preserve">a </w:t>
      </w:r>
      <w:r w:rsidR="00C722FC">
        <w:rPr>
          <w:rFonts w:ascii="Museo Sans 300" w:hAnsi="Museo Sans 300"/>
          <w:sz w:val="22"/>
          <w:szCs w:val="22"/>
          <w:lang w:val="es-MX"/>
        </w:rPr>
        <w:t>junio</w:t>
      </w:r>
      <w:r w:rsidR="00355D4B" w:rsidRPr="00CD1FD1">
        <w:rPr>
          <w:rFonts w:ascii="Museo Sans 300" w:hAnsi="Museo Sans 300"/>
          <w:sz w:val="22"/>
          <w:szCs w:val="22"/>
          <w:lang w:val="es-MX"/>
        </w:rPr>
        <w:t xml:space="preserve"> 2022</w:t>
      </w:r>
      <w:r w:rsidR="00BE54F5" w:rsidRPr="00CD1FD1">
        <w:rPr>
          <w:rFonts w:ascii="Museo Sans 300" w:hAnsi="Museo Sans 300"/>
          <w:sz w:val="22"/>
          <w:szCs w:val="22"/>
          <w:lang w:val="es-MX"/>
        </w:rPr>
        <w:t>, registr</w:t>
      </w:r>
      <w:r w:rsidRPr="00CD1FD1">
        <w:rPr>
          <w:rFonts w:ascii="Museo Sans 300" w:hAnsi="Museo Sans 300"/>
          <w:sz w:val="22"/>
          <w:szCs w:val="22"/>
          <w:lang w:val="es-MX"/>
        </w:rPr>
        <w:t xml:space="preserve">aron </w:t>
      </w:r>
      <w:r w:rsidR="00BE54F5" w:rsidRPr="00CD1FD1">
        <w:rPr>
          <w:rFonts w:ascii="Museo Sans 300" w:hAnsi="Museo Sans 300"/>
          <w:sz w:val="22"/>
          <w:szCs w:val="22"/>
          <w:lang w:val="es-MX"/>
        </w:rPr>
        <w:t>un</w:t>
      </w:r>
      <w:r w:rsidR="00DB556C" w:rsidRPr="00CD1FD1">
        <w:rPr>
          <w:rFonts w:ascii="Museo Sans 300" w:hAnsi="Museo Sans 300"/>
          <w:sz w:val="22"/>
          <w:szCs w:val="22"/>
          <w:lang w:val="es-MX"/>
        </w:rPr>
        <w:t xml:space="preserve"> </w:t>
      </w:r>
      <w:r w:rsidR="00F077AF">
        <w:rPr>
          <w:rFonts w:ascii="Museo Sans 300" w:hAnsi="Museo Sans 300"/>
          <w:sz w:val="22"/>
          <w:szCs w:val="22"/>
          <w:lang w:val="es-MX"/>
        </w:rPr>
        <w:t>superávit</w:t>
      </w:r>
      <w:r w:rsidR="00BE54F5" w:rsidRPr="00CD1FD1">
        <w:rPr>
          <w:rFonts w:ascii="Museo Sans 300" w:hAnsi="Museo Sans 300"/>
          <w:sz w:val="22"/>
          <w:szCs w:val="22"/>
          <w:lang w:val="es-MX"/>
        </w:rPr>
        <w:t xml:space="preserve"> global sin pensiones de $</w:t>
      </w:r>
      <w:r w:rsidR="00BD4F7B" w:rsidRPr="00CD1FD1">
        <w:rPr>
          <w:rFonts w:ascii="Museo Sans 300" w:hAnsi="Museo Sans 300"/>
          <w:sz w:val="22"/>
          <w:szCs w:val="22"/>
          <w:lang w:val="es-MX"/>
        </w:rPr>
        <w:t>8</w:t>
      </w:r>
      <w:r w:rsidR="004132CF">
        <w:rPr>
          <w:rFonts w:ascii="Museo Sans 300" w:hAnsi="Museo Sans 300"/>
          <w:sz w:val="22"/>
          <w:szCs w:val="22"/>
          <w:lang w:val="es-MX"/>
        </w:rPr>
        <w:t>5.9</w:t>
      </w:r>
      <w:r w:rsidR="00FB7D8B" w:rsidRPr="00CD1FD1">
        <w:rPr>
          <w:rFonts w:ascii="Museo Sans 300" w:hAnsi="Museo Sans 300"/>
          <w:sz w:val="22"/>
          <w:szCs w:val="22"/>
          <w:lang w:val="es-MX"/>
        </w:rPr>
        <w:t xml:space="preserve"> mi</w:t>
      </w:r>
      <w:r w:rsidR="00BE54F5" w:rsidRPr="00CD1FD1">
        <w:rPr>
          <w:rFonts w:ascii="Museo Sans 300" w:hAnsi="Museo Sans 300"/>
          <w:sz w:val="22"/>
          <w:szCs w:val="22"/>
          <w:lang w:val="es-MX"/>
        </w:rPr>
        <w:t xml:space="preserve">llones, equivalente a </w:t>
      </w:r>
      <w:r w:rsidR="00BD4F7B" w:rsidRPr="00CD1FD1">
        <w:rPr>
          <w:rFonts w:ascii="Museo Sans 300" w:hAnsi="Museo Sans 300"/>
          <w:sz w:val="22"/>
          <w:szCs w:val="22"/>
          <w:lang w:val="es-MX"/>
        </w:rPr>
        <w:t>0.3</w:t>
      </w:r>
      <w:r w:rsidR="00BE54F5" w:rsidRPr="00CD1FD1">
        <w:rPr>
          <w:rFonts w:ascii="Museo Sans 300" w:hAnsi="Museo Sans 300"/>
          <w:sz w:val="22"/>
          <w:szCs w:val="22"/>
          <w:lang w:val="es-MX"/>
        </w:rPr>
        <w:t xml:space="preserve">% del PIB; </w:t>
      </w:r>
      <w:r w:rsidR="00F12D56" w:rsidRPr="00CD1FD1">
        <w:rPr>
          <w:rFonts w:ascii="Museo Sans 300" w:hAnsi="Museo Sans 300"/>
          <w:sz w:val="22"/>
          <w:szCs w:val="22"/>
          <w:lang w:val="es-MX"/>
        </w:rPr>
        <w:t xml:space="preserve">resultado </w:t>
      </w:r>
      <w:r w:rsidR="00BE37C9" w:rsidRPr="00CD1FD1">
        <w:rPr>
          <w:rFonts w:ascii="Museo Sans 300" w:hAnsi="Museo Sans 300"/>
          <w:sz w:val="22"/>
          <w:szCs w:val="22"/>
          <w:lang w:val="es-MX"/>
        </w:rPr>
        <w:t>m</w:t>
      </w:r>
      <w:r w:rsidR="00F077AF">
        <w:rPr>
          <w:rFonts w:ascii="Museo Sans 300" w:hAnsi="Museo Sans 300"/>
          <w:sz w:val="22"/>
          <w:szCs w:val="22"/>
          <w:lang w:val="es-MX"/>
        </w:rPr>
        <w:t>ayor</w:t>
      </w:r>
      <w:r w:rsidR="00BD4F7B" w:rsidRPr="00CD1FD1">
        <w:rPr>
          <w:rFonts w:ascii="Museo Sans 300" w:hAnsi="Museo Sans 300"/>
          <w:sz w:val="22"/>
          <w:szCs w:val="22"/>
          <w:lang w:val="es-MX"/>
        </w:rPr>
        <w:t xml:space="preserve"> </w:t>
      </w:r>
      <w:r w:rsidR="00ED4983" w:rsidRPr="00CD1FD1">
        <w:rPr>
          <w:rFonts w:ascii="Museo Sans 300" w:hAnsi="Museo Sans 300"/>
          <w:sz w:val="22"/>
          <w:szCs w:val="22"/>
          <w:lang w:val="es-MX"/>
        </w:rPr>
        <w:t xml:space="preserve">en </w:t>
      </w:r>
      <w:r w:rsidR="00F077AF">
        <w:rPr>
          <w:rFonts w:ascii="Museo Sans 300" w:hAnsi="Museo Sans 300"/>
          <w:sz w:val="22"/>
          <w:szCs w:val="22"/>
          <w:lang w:val="es-MX"/>
        </w:rPr>
        <w:t>1</w:t>
      </w:r>
      <w:r w:rsidR="00FE031E" w:rsidRPr="00CD1FD1">
        <w:rPr>
          <w:rFonts w:ascii="Museo Sans 300" w:hAnsi="Museo Sans 300"/>
          <w:sz w:val="22"/>
          <w:szCs w:val="22"/>
          <w:lang w:val="es-MX"/>
        </w:rPr>
        <w:t>.</w:t>
      </w:r>
      <w:r w:rsidR="00BD4F7B" w:rsidRPr="00CD1FD1">
        <w:rPr>
          <w:rFonts w:ascii="Museo Sans 300" w:hAnsi="Museo Sans 300"/>
          <w:sz w:val="22"/>
          <w:szCs w:val="22"/>
          <w:lang w:val="es-MX"/>
        </w:rPr>
        <w:t>6</w:t>
      </w:r>
      <w:r w:rsidR="00ED4983" w:rsidRPr="00CD1FD1">
        <w:rPr>
          <w:rFonts w:ascii="Museo Sans 300" w:hAnsi="Museo Sans 300"/>
          <w:sz w:val="22"/>
          <w:szCs w:val="22"/>
          <w:lang w:val="es-MX"/>
        </w:rPr>
        <w:t xml:space="preserve"> puntos </w:t>
      </w:r>
      <w:r w:rsidR="00DB556C" w:rsidRPr="00CD1FD1">
        <w:rPr>
          <w:rFonts w:ascii="Museo Sans 300" w:hAnsi="Museo Sans 300"/>
          <w:sz w:val="22"/>
          <w:szCs w:val="22"/>
          <w:lang w:val="es-MX"/>
        </w:rPr>
        <w:t xml:space="preserve">del PIB </w:t>
      </w:r>
      <w:r w:rsidR="00F12D56" w:rsidRPr="00CD1FD1">
        <w:rPr>
          <w:rFonts w:ascii="Museo Sans 300" w:hAnsi="Museo Sans 300"/>
          <w:sz w:val="22"/>
          <w:szCs w:val="22"/>
          <w:lang w:val="es-MX"/>
        </w:rPr>
        <w:t>c</w:t>
      </w:r>
      <w:r w:rsidR="00BE54F5" w:rsidRPr="00CD1FD1">
        <w:rPr>
          <w:rFonts w:ascii="Museo Sans 300" w:hAnsi="Museo Sans 300"/>
          <w:sz w:val="22"/>
          <w:szCs w:val="22"/>
          <w:lang w:val="es-MX"/>
        </w:rPr>
        <w:t xml:space="preserve">on relación al observado en </w:t>
      </w:r>
      <w:r w:rsidR="00581B7E" w:rsidRPr="00CD1FD1">
        <w:rPr>
          <w:rFonts w:ascii="Museo Sans 300" w:hAnsi="Museo Sans 300"/>
          <w:sz w:val="22"/>
          <w:szCs w:val="22"/>
          <w:lang w:val="es-MX"/>
        </w:rPr>
        <w:t>2021</w:t>
      </w:r>
      <w:r w:rsidR="00BE54F5" w:rsidRPr="00CD1FD1">
        <w:rPr>
          <w:rFonts w:ascii="Museo Sans 300" w:hAnsi="Museo Sans 300"/>
          <w:sz w:val="22"/>
          <w:szCs w:val="22"/>
          <w:lang w:val="es-MX"/>
        </w:rPr>
        <w:t>, producto de un</w:t>
      </w:r>
      <w:r w:rsidR="00FE031E" w:rsidRPr="00CD1FD1">
        <w:rPr>
          <w:rFonts w:ascii="Museo Sans 300" w:hAnsi="Museo Sans 300"/>
          <w:sz w:val="22"/>
          <w:szCs w:val="22"/>
          <w:lang w:val="es-MX"/>
        </w:rPr>
        <w:t xml:space="preserve"> crecimiento m</w:t>
      </w:r>
      <w:r w:rsidR="00BD4F7B" w:rsidRPr="00CD1FD1">
        <w:rPr>
          <w:rFonts w:ascii="Museo Sans 300" w:hAnsi="Museo Sans 300"/>
          <w:sz w:val="22"/>
          <w:szCs w:val="22"/>
          <w:lang w:val="es-MX"/>
        </w:rPr>
        <w:t>ayor</w:t>
      </w:r>
      <w:r w:rsidR="00FE031E" w:rsidRPr="00CD1FD1">
        <w:rPr>
          <w:rFonts w:ascii="Museo Sans 300" w:hAnsi="Museo Sans 300"/>
          <w:sz w:val="22"/>
          <w:szCs w:val="22"/>
          <w:lang w:val="es-MX"/>
        </w:rPr>
        <w:t xml:space="preserve"> </w:t>
      </w:r>
      <w:r w:rsidR="00BE54F5" w:rsidRPr="00CD1FD1">
        <w:rPr>
          <w:rFonts w:ascii="Museo Sans 300" w:hAnsi="Museo Sans 300"/>
          <w:sz w:val="22"/>
          <w:szCs w:val="22"/>
          <w:lang w:val="es-MX"/>
        </w:rPr>
        <w:t>en los ingresos por $</w:t>
      </w:r>
      <w:r w:rsidR="00F077AF">
        <w:rPr>
          <w:rFonts w:ascii="Museo Sans 300" w:hAnsi="Museo Sans 300"/>
          <w:sz w:val="22"/>
          <w:szCs w:val="22"/>
          <w:lang w:val="es-MX"/>
        </w:rPr>
        <w:t>649.5</w:t>
      </w:r>
      <w:r w:rsidR="00C9047A" w:rsidRPr="00CD1FD1">
        <w:rPr>
          <w:rFonts w:ascii="Museo Sans 300" w:hAnsi="Museo Sans 300"/>
          <w:sz w:val="22"/>
          <w:szCs w:val="22"/>
          <w:lang w:val="es-MX"/>
        </w:rPr>
        <w:t xml:space="preserve"> millones</w:t>
      </w:r>
      <w:r w:rsidR="00CA5904" w:rsidRPr="00CD1FD1">
        <w:rPr>
          <w:rFonts w:ascii="Museo Sans 300" w:hAnsi="Museo Sans 300"/>
          <w:sz w:val="22"/>
          <w:szCs w:val="22"/>
          <w:lang w:val="es-MX"/>
        </w:rPr>
        <w:t xml:space="preserve"> (</w:t>
      </w:r>
      <w:r w:rsidR="00F077AF">
        <w:rPr>
          <w:rFonts w:ascii="Museo Sans 300" w:hAnsi="Museo Sans 300"/>
          <w:sz w:val="22"/>
          <w:szCs w:val="22"/>
          <w:lang w:val="es-MX"/>
        </w:rPr>
        <w:t>18.1</w:t>
      </w:r>
      <w:r w:rsidR="00CA5904" w:rsidRPr="00CD1FD1">
        <w:rPr>
          <w:rFonts w:ascii="Museo Sans 300" w:hAnsi="Museo Sans 300"/>
          <w:sz w:val="22"/>
          <w:szCs w:val="22"/>
          <w:lang w:val="es-MX"/>
        </w:rPr>
        <w:t>%)</w:t>
      </w:r>
      <w:r w:rsidR="00C9047A" w:rsidRPr="00CD1FD1">
        <w:rPr>
          <w:rFonts w:ascii="Museo Sans 300" w:hAnsi="Museo Sans 300"/>
          <w:sz w:val="22"/>
          <w:szCs w:val="22"/>
          <w:lang w:val="es-MX"/>
        </w:rPr>
        <w:t xml:space="preserve"> y </w:t>
      </w:r>
      <w:r w:rsidR="00F83B36" w:rsidRPr="00CD1FD1">
        <w:rPr>
          <w:rFonts w:ascii="Museo Sans 300" w:hAnsi="Museo Sans 300"/>
          <w:sz w:val="22"/>
          <w:szCs w:val="22"/>
          <w:lang w:val="es-MX"/>
        </w:rPr>
        <w:t>un incremento</w:t>
      </w:r>
      <w:r w:rsidR="00D63A75" w:rsidRPr="00CD1FD1">
        <w:rPr>
          <w:rFonts w:ascii="Museo Sans 300" w:hAnsi="Museo Sans 300"/>
          <w:sz w:val="22"/>
          <w:szCs w:val="22"/>
          <w:lang w:val="es-MX"/>
        </w:rPr>
        <w:t xml:space="preserve"> m</w:t>
      </w:r>
      <w:r w:rsidR="00533421" w:rsidRPr="00CD1FD1">
        <w:rPr>
          <w:rFonts w:ascii="Museo Sans 300" w:hAnsi="Museo Sans 300"/>
          <w:sz w:val="22"/>
          <w:szCs w:val="22"/>
          <w:lang w:val="es-MX"/>
        </w:rPr>
        <w:t xml:space="preserve">enor </w:t>
      </w:r>
      <w:r w:rsidR="00BE54F5" w:rsidRPr="00CD1FD1">
        <w:rPr>
          <w:rFonts w:ascii="Museo Sans 300" w:hAnsi="Museo Sans 300"/>
          <w:sz w:val="22"/>
          <w:szCs w:val="22"/>
          <w:lang w:val="es-MX"/>
        </w:rPr>
        <w:t>en los gastos totales de $</w:t>
      </w:r>
      <w:r w:rsidR="002F44DD" w:rsidRPr="00CD1FD1">
        <w:rPr>
          <w:rFonts w:ascii="Museo Sans 300" w:hAnsi="Museo Sans 300"/>
          <w:sz w:val="22"/>
          <w:szCs w:val="22"/>
          <w:lang w:val="es-MX"/>
        </w:rPr>
        <w:t>1</w:t>
      </w:r>
      <w:r w:rsidR="00533421" w:rsidRPr="00CD1FD1">
        <w:rPr>
          <w:rFonts w:ascii="Museo Sans 300" w:hAnsi="Museo Sans 300"/>
          <w:sz w:val="22"/>
          <w:szCs w:val="22"/>
          <w:lang w:val="es-MX"/>
        </w:rPr>
        <w:t>8</w:t>
      </w:r>
      <w:r w:rsidR="00F077AF">
        <w:rPr>
          <w:rFonts w:ascii="Museo Sans 300" w:hAnsi="Museo Sans 300"/>
          <w:sz w:val="22"/>
          <w:szCs w:val="22"/>
          <w:lang w:val="es-MX"/>
        </w:rPr>
        <w:t>0.3</w:t>
      </w:r>
      <w:r w:rsidR="003C618A" w:rsidRPr="00CD1FD1">
        <w:rPr>
          <w:rFonts w:ascii="Museo Sans 300" w:hAnsi="Museo Sans 300"/>
          <w:sz w:val="22"/>
          <w:szCs w:val="22"/>
          <w:lang w:val="es-MX"/>
        </w:rPr>
        <w:t xml:space="preserve"> </w:t>
      </w:r>
      <w:r w:rsidR="00BE54F5" w:rsidRPr="00CD1FD1">
        <w:rPr>
          <w:rFonts w:ascii="Museo Sans 300" w:hAnsi="Museo Sans 300"/>
          <w:sz w:val="22"/>
          <w:szCs w:val="22"/>
          <w:lang w:val="es-MX"/>
        </w:rPr>
        <w:t>millones</w:t>
      </w:r>
      <w:r w:rsidR="00CA5904" w:rsidRPr="00CD1FD1">
        <w:rPr>
          <w:rFonts w:ascii="Museo Sans 300" w:hAnsi="Museo Sans 300"/>
          <w:sz w:val="22"/>
          <w:szCs w:val="22"/>
          <w:lang w:val="es-MX"/>
        </w:rPr>
        <w:t xml:space="preserve"> (</w:t>
      </w:r>
      <w:r w:rsidR="00533421" w:rsidRPr="00CD1FD1">
        <w:rPr>
          <w:rFonts w:ascii="Museo Sans 300" w:hAnsi="Museo Sans 300"/>
          <w:sz w:val="22"/>
          <w:szCs w:val="22"/>
          <w:lang w:val="es-MX"/>
        </w:rPr>
        <w:t>10.4</w:t>
      </w:r>
      <w:r w:rsidR="00CA5904" w:rsidRPr="00CD1FD1">
        <w:rPr>
          <w:rFonts w:ascii="Museo Sans 300" w:hAnsi="Museo Sans 300"/>
          <w:sz w:val="22"/>
          <w:szCs w:val="22"/>
          <w:lang w:val="es-MX"/>
        </w:rPr>
        <w:t>%)</w:t>
      </w:r>
      <w:r w:rsidR="00BE54F5" w:rsidRPr="00CD1FD1">
        <w:rPr>
          <w:rFonts w:ascii="Museo Sans 300" w:hAnsi="Museo Sans 300"/>
          <w:sz w:val="22"/>
          <w:szCs w:val="22"/>
          <w:lang w:val="es-MX"/>
        </w:rPr>
        <w:t>. Al incorporar el pago en concepto de pensiones</w:t>
      </w:r>
      <w:r w:rsidR="007A4225" w:rsidRPr="00CD1FD1">
        <w:rPr>
          <w:rFonts w:ascii="Museo Sans 300" w:hAnsi="Museo Sans 300"/>
          <w:sz w:val="22"/>
          <w:szCs w:val="22"/>
          <w:lang w:val="es-MX"/>
        </w:rPr>
        <w:t xml:space="preserve"> (FOP)</w:t>
      </w:r>
      <w:r w:rsidR="00665FCA" w:rsidRPr="00CD1FD1">
        <w:rPr>
          <w:rFonts w:ascii="Museo Sans 300" w:hAnsi="Museo Sans 300"/>
          <w:sz w:val="22"/>
          <w:szCs w:val="22"/>
          <w:lang w:val="es-MX"/>
        </w:rPr>
        <w:t>,</w:t>
      </w:r>
      <w:r w:rsidR="00BE54F5" w:rsidRPr="00CD1FD1">
        <w:rPr>
          <w:rFonts w:ascii="Museo Sans 300" w:hAnsi="Museo Sans 300"/>
          <w:sz w:val="22"/>
          <w:szCs w:val="22"/>
          <w:lang w:val="es-MX"/>
        </w:rPr>
        <w:t xml:space="preserve"> resultó un déficit global de $</w:t>
      </w:r>
      <w:r w:rsidR="00F077AF">
        <w:rPr>
          <w:rFonts w:ascii="Museo Sans 300" w:hAnsi="Museo Sans 300"/>
          <w:sz w:val="22"/>
          <w:szCs w:val="22"/>
          <w:lang w:val="es-MX"/>
        </w:rPr>
        <w:t>61.3</w:t>
      </w:r>
      <w:r w:rsidR="00834CDC" w:rsidRPr="00CD1FD1">
        <w:rPr>
          <w:rFonts w:ascii="Museo Sans 300" w:hAnsi="Museo Sans 300"/>
          <w:sz w:val="22"/>
          <w:szCs w:val="22"/>
          <w:lang w:val="es-MX"/>
        </w:rPr>
        <w:t xml:space="preserve"> </w:t>
      </w:r>
      <w:r w:rsidR="002A147C" w:rsidRPr="00CD1FD1">
        <w:rPr>
          <w:rFonts w:ascii="Museo Sans 300" w:hAnsi="Museo Sans 300"/>
          <w:sz w:val="22"/>
          <w:szCs w:val="22"/>
          <w:lang w:val="es-MX"/>
        </w:rPr>
        <w:t>millones</w:t>
      </w:r>
      <w:r w:rsidR="0090383E" w:rsidRPr="00CD1FD1">
        <w:rPr>
          <w:rFonts w:ascii="Museo Sans 300" w:hAnsi="Museo Sans 300"/>
          <w:sz w:val="22"/>
          <w:szCs w:val="22"/>
          <w:lang w:val="es-MX"/>
        </w:rPr>
        <w:t>,</w:t>
      </w:r>
      <w:r w:rsidR="002A147C" w:rsidRPr="00CD1FD1">
        <w:rPr>
          <w:rFonts w:ascii="Museo Sans 300" w:hAnsi="Museo Sans 300"/>
          <w:sz w:val="22"/>
          <w:szCs w:val="22"/>
          <w:lang w:val="es-MX"/>
        </w:rPr>
        <w:t xml:space="preserve"> m</w:t>
      </w:r>
      <w:r w:rsidR="00533421" w:rsidRPr="00CD1FD1">
        <w:rPr>
          <w:rFonts w:ascii="Museo Sans 300" w:hAnsi="Museo Sans 300"/>
          <w:sz w:val="22"/>
          <w:szCs w:val="22"/>
          <w:lang w:val="es-MX"/>
        </w:rPr>
        <w:t xml:space="preserve">enor </w:t>
      </w:r>
      <w:r w:rsidR="0014194D" w:rsidRPr="00CD1FD1">
        <w:rPr>
          <w:rFonts w:ascii="Museo Sans 300" w:hAnsi="Museo Sans 300"/>
          <w:sz w:val="22"/>
          <w:szCs w:val="22"/>
          <w:lang w:val="es-MX"/>
        </w:rPr>
        <w:t xml:space="preserve">en </w:t>
      </w:r>
      <w:r w:rsidR="00BE54F5" w:rsidRPr="00CD1FD1">
        <w:rPr>
          <w:rFonts w:ascii="Museo Sans 300" w:hAnsi="Museo Sans 300"/>
          <w:sz w:val="22"/>
          <w:szCs w:val="22"/>
          <w:lang w:val="es-MX"/>
        </w:rPr>
        <w:t>$</w:t>
      </w:r>
      <w:r w:rsidR="00F077AF">
        <w:rPr>
          <w:rFonts w:ascii="Museo Sans 300" w:hAnsi="Museo Sans 300"/>
          <w:sz w:val="22"/>
          <w:szCs w:val="22"/>
          <w:lang w:val="es-MX"/>
        </w:rPr>
        <w:t>454.3</w:t>
      </w:r>
      <w:r w:rsidR="0061270D" w:rsidRPr="00CD1FD1">
        <w:rPr>
          <w:rFonts w:ascii="Museo Sans 300" w:hAnsi="Museo Sans 300"/>
          <w:sz w:val="22"/>
          <w:szCs w:val="22"/>
          <w:lang w:val="es-MX"/>
        </w:rPr>
        <w:t xml:space="preserve"> </w:t>
      </w:r>
      <w:r w:rsidR="00BE54F5" w:rsidRPr="00CD1FD1">
        <w:rPr>
          <w:rFonts w:ascii="Museo Sans 300" w:hAnsi="Museo Sans 300"/>
          <w:sz w:val="22"/>
          <w:szCs w:val="22"/>
          <w:lang w:val="es-MX"/>
        </w:rPr>
        <w:t xml:space="preserve">millones al registrado en </w:t>
      </w:r>
      <w:r w:rsidR="00C6558B" w:rsidRPr="00CD1FD1">
        <w:rPr>
          <w:rFonts w:ascii="Museo Sans 300" w:hAnsi="Museo Sans 300"/>
          <w:sz w:val="22"/>
          <w:szCs w:val="22"/>
          <w:lang w:val="es-MX"/>
        </w:rPr>
        <w:t xml:space="preserve">el mismo período de </w:t>
      </w:r>
      <w:r w:rsidR="00581B7E" w:rsidRPr="00CD1FD1">
        <w:rPr>
          <w:rFonts w:ascii="Museo Sans 300" w:hAnsi="Museo Sans 300"/>
          <w:sz w:val="22"/>
          <w:szCs w:val="22"/>
          <w:lang w:val="es-MX"/>
        </w:rPr>
        <w:t>2021</w:t>
      </w:r>
      <w:r w:rsidR="00BE54F5" w:rsidRPr="00CD1FD1">
        <w:rPr>
          <w:rFonts w:ascii="Museo Sans 300" w:hAnsi="Museo Sans 300"/>
          <w:sz w:val="22"/>
          <w:szCs w:val="22"/>
          <w:lang w:val="es-MX"/>
        </w:rPr>
        <w:t xml:space="preserve">. En términos del PIB </w:t>
      </w:r>
      <w:r w:rsidR="0052116C" w:rsidRPr="00CD1FD1">
        <w:rPr>
          <w:rFonts w:ascii="Museo Sans 300" w:hAnsi="Museo Sans 300"/>
          <w:sz w:val="22"/>
          <w:szCs w:val="22"/>
          <w:lang w:val="es-MX"/>
        </w:rPr>
        <w:t xml:space="preserve">el déficit </w:t>
      </w:r>
      <w:r w:rsidR="006B4FA5" w:rsidRPr="00CD1FD1">
        <w:rPr>
          <w:rFonts w:ascii="Museo Sans 300" w:hAnsi="Museo Sans 300"/>
          <w:sz w:val="22"/>
          <w:szCs w:val="22"/>
          <w:lang w:val="es-MX"/>
        </w:rPr>
        <w:t xml:space="preserve">fiscal </w:t>
      </w:r>
      <w:r w:rsidR="00BE54F5" w:rsidRPr="00CD1FD1">
        <w:rPr>
          <w:rFonts w:ascii="Museo Sans 300" w:hAnsi="Museo Sans 300"/>
          <w:sz w:val="22"/>
          <w:szCs w:val="22"/>
          <w:lang w:val="es-MX"/>
        </w:rPr>
        <w:t xml:space="preserve">fue equivalente a </w:t>
      </w:r>
      <w:r w:rsidR="00137B38" w:rsidRPr="00CD1FD1">
        <w:rPr>
          <w:rFonts w:ascii="Museo Sans 300" w:hAnsi="Museo Sans 300"/>
          <w:sz w:val="22"/>
          <w:szCs w:val="22"/>
          <w:lang w:val="es-MX"/>
        </w:rPr>
        <w:t>-</w:t>
      </w:r>
      <w:r w:rsidR="00533421" w:rsidRPr="00CD1FD1">
        <w:rPr>
          <w:rFonts w:ascii="Museo Sans 300" w:hAnsi="Museo Sans 300"/>
          <w:sz w:val="22"/>
          <w:szCs w:val="22"/>
          <w:lang w:val="es-MX"/>
        </w:rPr>
        <w:t>0.</w:t>
      </w:r>
      <w:r w:rsidR="00F077AF">
        <w:rPr>
          <w:rFonts w:ascii="Museo Sans 300" w:hAnsi="Museo Sans 300"/>
          <w:sz w:val="22"/>
          <w:szCs w:val="22"/>
          <w:lang w:val="es-MX"/>
        </w:rPr>
        <w:t>2</w:t>
      </w:r>
      <w:r w:rsidR="00BE54F5" w:rsidRPr="00CD1FD1">
        <w:rPr>
          <w:rFonts w:ascii="Museo Sans 300" w:hAnsi="Museo Sans 300"/>
          <w:sz w:val="22"/>
          <w:szCs w:val="22"/>
          <w:lang w:val="es-MX"/>
        </w:rPr>
        <w:t>%</w:t>
      </w:r>
      <w:r w:rsidR="00650F9B" w:rsidRPr="00CD1FD1">
        <w:rPr>
          <w:rFonts w:ascii="Museo Sans 300" w:hAnsi="Museo Sans 300"/>
          <w:sz w:val="22"/>
          <w:szCs w:val="22"/>
          <w:lang w:val="es-MX"/>
        </w:rPr>
        <w:t>.</w:t>
      </w:r>
      <w:r w:rsidR="00DB556C" w:rsidRPr="00CD1FD1">
        <w:rPr>
          <w:rFonts w:ascii="Museo Sans 300" w:hAnsi="Museo Sans 300"/>
          <w:sz w:val="22"/>
          <w:szCs w:val="22"/>
          <w:lang w:val="es-MX"/>
        </w:rPr>
        <w:t xml:space="preserve"> </w:t>
      </w:r>
    </w:p>
    <w:p w14:paraId="7522D1B5" w14:textId="77777777" w:rsidR="00665FCA" w:rsidRPr="00F775B5" w:rsidRDefault="00665FCA" w:rsidP="00BE54F5">
      <w:pPr>
        <w:jc w:val="both"/>
        <w:rPr>
          <w:rFonts w:ascii="Museo Sans 300" w:hAnsi="Museo Sans 300"/>
          <w:sz w:val="12"/>
          <w:szCs w:val="12"/>
          <w:lang w:val="es-MX"/>
        </w:rPr>
      </w:pPr>
    </w:p>
    <w:p w14:paraId="53D3F07C" w14:textId="77777777" w:rsidR="003F74EF" w:rsidRDefault="003F74EF" w:rsidP="0049611D">
      <w:pPr>
        <w:rPr>
          <w:rFonts w:ascii="Museo Sans 300" w:hAnsi="Museo Sans 300"/>
          <w:sz w:val="22"/>
          <w:szCs w:val="22"/>
          <w:lang w:val="es-MX"/>
        </w:rPr>
      </w:pPr>
    </w:p>
    <w:p w14:paraId="04BD95E6" w14:textId="77777777" w:rsidR="003F74EF" w:rsidRDefault="003F74EF" w:rsidP="0049611D">
      <w:pPr>
        <w:rPr>
          <w:rFonts w:ascii="Museo Sans 300" w:hAnsi="Museo Sans 300"/>
          <w:sz w:val="22"/>
          <w:szCs w:val="22"/>
          <w:lang w:val="es-MX"/>
        </w:rPr>
      </w:pPr>
    </w:p>
    <w:p w14:paraId="782C4BA7" w14:textId="77777777" w:rsidR="003F74EF" w:rsidRDefault="003F74EF" w:rsidP="0049611D">
      <w:pPr>
        <w:rPr>
          <w:rFonts w:ascii="Museo Sans 300" w:hAnsi="Museo Sans 300"/>
          <w:sz w:val="22"/>
          <w:szCs w:val="22"/>
          <w:lang w:val="es-MX"/>
        </w:rPr>
      </w:pPr>
    </w:p>
    <w:p w14:paraId="565F4139" w14:textId="77777777" w:rsidR="000F7857" w:rsidRPr="00CD1FD1" w:rsidRDefault="00DA7944" w:rsidP="003F74EF">
      <w:pPr>
        <w:jc w:val="center"/>
        <w:rPr>
          <w:rFonts w:ascii="Museo Sans 300" w:hAnsi="Museo Sans 300"/>
          <w:sz w:val="22"/>
          <w:szCs w:val="22"/>
          <w:lang w:val="es-MX"/>
        </w:rPr>
      </w:pPr>
      <w:r w:rsidRPr="00CD1FD1">
        <w:rPr>
          <w:rFonts w:ascii="Museo Sans 300" w:hAnsi="Museo Sans 300"/>
          <w:sz w:val="22"/>
          <w:szCs w:val="22"/>
          <w:lang w:val="es-MX"/>
        </w:rPr>
        <w:lastRenderedPageBreak/>
        <w:t>Gráfico 1</w:t>
      </w:r>
      <w:r w:rsidR="003F74EF">
        <w:rPr>
          <w:rFonts w:ascii="Museo Sans 300" w:hAnsi="Museo Sans 300"/>
          <w:sz w:val="22"/>
          <w:szCs w:val="22"/>
          <w:lang w:val="es-MX"/>
        </w:rPr>
        <w:t>0</w:t>
      </w:r>
      <w:r w:rsidRPr="00CD1FD1">
        <w:rPr>
          <w:rFonts w:ascii="Museo Sans 300" w:hAnsi="Museo Sans 300"/>
          <w:sz w:val="22"/>
          <w:szCs w:val="22"/>
          <w:lang w:val="es-MX"/>
        </w:rPr>
        <w:t xml:space="preserve">: Balance Global con pensiones del SPNF a </w:t>
      </w:r>
      <w:r w:rsidR="00C722FC">
        <w:rPr>
          <w:rFonts w:ascii="Museo Sans 300" w:hAnsi="Museo Sans 300"/>
          <w:sz w:val="22"/>
          <w:szCs w:val="22"/>
          <w:lang w:val="es-MX"/>
        </w:rPr>
        <w:t>junio</w:t>
      </w:r>
      <w:r w:rsidRPr="00CD1FD1">
        <w:rPr>
          <w:rFonts w:ascii="Museo Sans 300" w:hAnsi="Museo Sans 300"/>
          <w:sz w:val="22"/>
          <w:szCs w:val="22"/>
          <w:lang w:val="es-MX"/>
        </w:rPr>
        <w:t xml:space="preserve"> 2014-202</w:t>
      </w:r>
      <w:r w:rsidR="00F4033D" w:rsidRPr="00CD1FD1">
        <w:rPr>
          <w:rFonts w:ascii="Museo Sans 300" w:hAnsi="Museo Sans 300"/>
          <w:sz w:val="22"/>
          <w:szCs w:val="22"/>
          <w:lang w:val="es-MX"/>
        </w:rPr>
        <w:t>2</w:t>
      </w:r>
    </w:p>
    <w:p w14:paraId="1F5615C7" w14:textId="77777777" w:rsidR="00DB11D8" w:rsidRPr="006576D7" w:rsidRDefault="00DB11D8" w:rsidP="00386BC0">
      <w:pPr>
        <w:jc w:val="center"/>
        <w:rPr>
          <w:rFonts w:ascii="Museo Sans 300" w:hAnsi="Museo Sans 300"/>
          <w:sz w:val="16"/>
          <w:szCs w:val="16"/>
          <w:lang w:val="es-MX"/>
        </w:rPr>
      </w:pPr>
    </w:p>
    <w:p w14:paraId="448E469D" w14:textId="77777777" w:rsidR="00622AAA" w:rsidRPr="00CD1FD1" w:rsidRDefault="00F00F99" w:rsidP="00386BC0">
      <w:pPr>
        <w:jc w:val="center"/>
        <w:rPr>
          <w:rFonts w:ascii="Museo Sans 300" w:hAnsi="Museo Sans 300"/>
          <w:sz w:val="22"/>
          <w:szCs w:val="22"/>
          <w:lang w:val="es-MX"/>
        </w:rPr>
      </w:pPr>
      <w:r w:rsidRPr="00F00F99">
        <w:rPr>
          <w:noProof/>
        </w:rPr>
        <w:drawing>
          <wp:inline distT="0" distB="0" distL="0" distR="0" wp14:anchorId="4F6F3D95" wp14:editId="799A6A5F">
            <wp:extent cx="4993790" cy="29929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8778" cy="3001923"/>
                    </a:xfrm>
                    <a:prstGeom prst="rect">
                      <a:avLst/>
                    </a:prstGeom>
                    <a:noFill/>
                    <a:ln>
                      <a:noFill/>
                    </a:ln>
                  </pic:spPr>
                </pic:pic>
              </a:graphicData>
            </a:graphic>
          </wp:inline>
        </w:drawing>
      </w:r>
    </w:p>
    <w:p w14:paraId="2137CE47" w14:textId="77777777" w:rsidR="00DB11D8" w:rsidRPr="00CD1FD1" w:rsidRDefault="00DB11D8" w:rsidP="00C75E6A">
      <w:pPr>
        <w:rPr>
          <w:rFonts w:ascii="Museo Sans 300" w:hAnsi="Museo Sans 300"/>
          <w:sz w:val="22"/>
          <w:szCs w:val="22"/>
          <w:lang w:val="es-MX"/>
        </w:rPr>
      </w:pPr>
    </w:p>
    <w:p w14:paraId="74F13A14" w14:textId="77777777" w:rsidR="00DB11D8" w:rsidRPr="00CD1FD1" w:rsidRDefault="00DB11D8" w:rsidP="00C75E6A">
      <w:pPr>
        <w:rPr>
          <w:rFonts w:ascii="Museo Sans 300" w:hAnsi="Museo Sans 300"/>
          <w:sz w:val="22"/>
          <w:szCs w:val="22"/>
          <w:lang w:val="es-MX"/>
        </w:rPr>
      </w:pPr>
    </w:p>
    <w:p w14:paraId="654E0B9F" w14:textId="77777777" w:rsidR="0049611D" w:rsidRDefault="0049611D" w:rsidP="00831D82">
      <w:pPr>
        <w:pStyle w:val="Ttulo2"/>
        <w:jc w:val="center"/>
        <w:rPr>
          <w:rFonts w:ascii="Museo Sans 300" w:hAnsi="Museo Sans 300"/>
          <w:b/>
          <w:sz w:val="22"/>
          <w:szCs w:val="22"/>
          <w:lang w:val="es-MX"/>
        </w:rPr>
      </w:pPr>
      <w:bookmarkStart w:id="72" w:name="_Toc56581225"/>
    </w:p>
    <w:p w14:paraId="7E20C46D" w14:textId="77777777" w:rsidR="0049611D" w:rsidRDefault="0049611D" w:rsidP="00831D82">
      <w:pPr>
        <w:pStyle w:val="Ttulo2"/>
        <w:jc w:val="center"/>
        <w:rPr>
          <w:rFonts w:ascii="Museo Sans 300" w:hAnsi="Museo Sans 300"/>
          <w:b/>
          <w:sz w:val="22"/>
          <w:szCs w:val="22"/>
          <w:lang w:val="es-MX"/>
        </w:rPr>
      </w:pPr>
    </w:p>
    <w:p w14:paraId="4A1C787E" w14:textId="77777777" w:rsidR="0049611D" w:rsidRDefault="0049611D" w:rsidP="00831D82">
      <w:pPr>
        <w:pStyle w:val="Ttulo2"/>
        <w:jc w:val="center"/>
        <w:rPr>
          <w:rFonts w:ascii="Museo Sans 300" w:hAnsi="Museo Sans 300"/>
          <w:b/>
          <w:sz w:val="22"/>
          <w:szCs w:val="22"/>
          <w:lang w:val="es-MX"/>
        </w:rPr>
      </w:pPr>
    </w:p>
    <w:p w14:paraId="41474D05" w14:textId="77777777" w:rsidR="00B53EC3" w:rsidRDefault="00B53EC3" w:rsidP="00831D82">
      <w:pPr>
        <w:pStyle w:val="Ttulo2"/>
        <w:jc w:val="center"/>
        <w:rPr>
          <w:rFonts w:ascii="Museo Sans 300" w:hAnsi="Museo Sans 300"/>
          <w:b/>
          <w:sz w:val="22"/>
          <w:szCs w:val="22"/>
          <w:lang w:val="es-MX"/>
        </w:rPr>
      </w:pPr>
    </w:p>
    <w:p w14:paraId="67628B16" w14:textId="77777777" w:rsidR="00B53EC3" w:rsidRDefault="00B53EC3" w:rsidP="00831D82">
      <w:pPr>
        <w:pStyle w:val="Ttulo2"/>
        <w:jc w:val="center"/>
        <w:rPr>
          <w:rFonts w:ascii="Museo Sans 300" w:hAnsi="Museo Sans 300"/>
          <w:b/>
          <w:sz w:val="22"/>
          <w:szCs w:val="22"/>
          <w:lang w:val="es-MX"/>
        </w:rPr>
      </w:pPr>
    </w:p>
    <w:p w14:paraId="4A7EB5C4" w14:textId="20307CC3" w:rsidR="00B53EC3" w:rsidRDefault="00B53EC3" w:rsidP="00831D82">
      <w:pPr>
        <w:pStyle w:val="Ttulo2"/>
        <w:jc w:val="center"/>
        <w:rPr>
          <w:rFonts w:ascii="Museo Sans 300" w:hAnsi="Museo Sans 300"/>
          <w:b/>
          <w:sz w:val="22"/>
          <w:szCs w:val="22"/>
          <w:lang w:val="es-MX"/>
        </w:rPr>
      </w:pPr>
    </w:p>
    <w:p w14:paraId="7F2EFE75" w14:textId="48E4C27E" w:rsidR="008707BB" w:rsidRDefault="008707BB" w:rsidP="008707BB">
      <w:pPr>
        <w:rPr>
          <w:lang w:val="es-MX"/>
        </w:rPr>
      </w:pPr>
    </w:p>
    <w:p w14:paraId="0B063C82" w14:textId="094C0DD0" w:rsidR="008707BB" w:rsidRDefault="008707BB" w:rsidP="008707BB">
      <w:pPr>
        <w:rPr>
          <w:lang w:val="es-MX"/>
        </w:rPr>
      </w:pPr>
    </w:p>
    <w:p w14:paraId="45BA9C16" w14:textId="2302C253" w:rsidR="008707BB" w:rsidRDefault="008707BB" w:rsidP="008707BB">
      <w:pPr>
        <w:rPr>
          <w:lang w:val="es-MX"/>
        </w:rPr>
      </w:pPr>
    </w:p>
    <w:p w14:paraId="3BE5A4D2" w14:textId="73F0EEBE" w:rsidR="008707BB" w:rsidRDefault="008707BB" w:rsidP="008707BB">
      <w:pPr>
        <w:rPr>
          <w:lang w:val="es-MX"/>
        </w:rPr>
      </w:pPr>
    </w:p>
    <w:p w14:paraId="7D03E2C9" w14:textId="19202B4A" w:rsidR="008707BB" w:rsidRDefault="008707BB" w:rsidP="008707BB">
      <w:pPr>
        <w:rPr>
          <w:lang w:val="es-MX"/>
        </w:rPr>
      </w:pPr>
    </w:p>
    <w:p w14:paraId="02296983" w14:textId="09C17FD7" w:rsidR="008707BB" w:rsidRDefault="008707BB" w:rsidP="008707BB">
      <w:pPr>
        <w:rPr>
          <w:lang w:val="es-MX"/>
        </w:rPr>
      </w:pPr>
    </w:p>
    <w:p w14:paraId="5F5205E4" w14:textId="68B8E1CB" w:rsidR="008707BB" w:rsidRDefault="008707BB" w:rsidP="008707BB">
      <w:pPr>
        <w:rPr>
          <w:lang w:val="es-MX"/>
        </w:rPr>
      </w:pPr>
    </w:p>
    <w:p w14:paraId="17BB21D5" w14:textId="010DB03D" w:rsidR="008707BB" w:rsidRDefault="008707BB" w:rsidP="008707BB">
      <w:pPr>
        <w:rPr>
          <w:lang w:val="es-MX"/>
        </w:rPr>
      </w:pPr>
    </w:p>
    <w:p w14:paraId="052ECF0F" w14:textId="6FCA1D15" w:rsidR="008707BB" w:rsidRDefault="008707BB" w:rsidP="008707BB">
      <w:pPr>
        <w:rPr>
          <w:lang w:val="es-MX"/>
        </w:rPr>
      </w:pPr>
    </w:p>
    <w:p w14:paraId="37CAA187" w14:textId="73A38C09" w:rsidR="008707BB" w:rsidRDefault="008707BB" w:rsidP="008707BB">
      <w:pPr>
        <w:rPr>
          <w:lang w:val="es-MX"/>
        </w:rPr>
      </w:pPr>
    </w:p>
    <w:p w14:paraId="644026DC" w14:textId="0C1FADDA" w:rsidR="008707BB" w:rsidRDefault="008707BB" w:rsidP="008707BB">
      <w:pPr>
        <w:rPr>
          <w:lang w:val="es-MX"/>
        </w:rPr>
      </w:pPr>
    </w:p>
    <w:p w14:paraId="365D3533" w14:textId="30CEB76D" w:rsidR="008707BB" w:rsidRDefault="008707BB" w:rsidP="008707BB">
      <w:pPr>
        <w:rPr>
          <w:lang w:val="es-MX"/>
        </w:rPr>
      </w:pPr>
    </w:p>
    <w:p w14:paraId="055F9888" w14:textId="3F6B5B45" w:rsidR="008707BB" w:rsidRDefault="008707BB" w:rsidP="008707BB">
      <w:pPr>
        <w:rPr>
          <w:lang w:val="es-MX"/>
        </w:rPr>
      </w:pPr>
    </w:p>
    <w:p w14:paraId="149932F2" w14:textId="54442F53" w:rsidR="008707BB" w:rsidRDefault="008707BB" w:rsidP="008707BB">
      <w:pPr>
        <w:rPr>
          <w:lang w:val="es-MX"/>
        </w:rPr>
      </w:pPr>
    </w:p>
    <w:p w14:paraId="56D872F2" w14:textId="48BE880D" w:rsidR="008707BB" w:rsidRDefault="008707BB" w:rsidP="008707BB">
      <w:pPr>
        <w:rPr>
          <w:lang w:val="es-MX"/>
        </w:rPr>
      </w:pPr>
    </w:p>
    <w:p w14:paraId="50764844" w14:textId="64BF47F8" w:rsidR="008707BB" w:rsidRDefault="008707BB" w:rsidP="008707BB">
      <w:pPr>
        <w:rPr>
          <w:lang w:val="es-MX"/>
        </w:rPr>
      </w:pPr>
    </w:p>
    <w:p w14:paraId="1938EB2F" w14:textId="37A327BE" w:rsidR="008707BB" w:rsidRDefault="008707BB" w:rsidP="008707BB">
      <w:pPr>
        <w:rPr>
          <w:lang w:val="es-MX"/>
        </w:rPr>
      </w:pPr>
    </w:p>
    <w:p w14:paraId="09386A4F" w14:textId="54531AB6" w:rsidR="008707BB" w:rsidRDefault="008707BB" w:rsidP="008707BB">
      <w:pPr>
        <w:rPr>
          <w:lang w:val="es-MX"/>
        </w:rPr>
      </w:pPr>
    </w:p>
    <w:p w14:paraId="133492EF" w14:textId="62F593FE" w:rsidR="008707BB" w:rsidRDefault="008707BB" w:rsidP="008707BB">
      <w:pPr>
        <w:rPr>
          <w:lang w:val="es-MX"/>
        </w:rPr>
      </w:pPr>
    </w:p>
    <w:p w14:paraId="023B67D2" w14:textId="3C0A9006" w:rsidR="008707BB" w:rsidRDefault="008707BB" w:rsidP="008707BB">
      <w:pPr>
        <w:rPr>
          <w:lang w:val="es-MX"/>
        </w:rPr>
      </w:pPr>
    </w:p>
    <w:p w14:paraId="7C43FA83" w14:textId="56EE7D9B" w:rsidR="008707BB" w:rsidRDefault="008707BB" w:rsidP="008707BB">
      <w:pPr>
        <w:rPr>
          <w:lang w:val="es-MX"/>
        </w:rPr>
      </w:pPr>
    </w:p>
    <w:p w14:paraId="165593A1" w14:textId="6C0D45AD" w:rsidR="008707BB" w:rsidRDefault="008707BB" w:rsidP="008707BB">
      <w:pPr>
        <w:rPr>
          <w:lang w:val="es-MX"/>
        </w:rPr>
      </w:pPr>
    </w:p>
    <w:p w14:paraId="5436F4E8" w14:textId="5B5E5A3F" w:rsidR="008707BB" w:rsidRDefault="008707BB" w:rsidP="008707BB">
      <w:pPr>
        <w:rPr>
          <w:lang w:val="es-MX"/>
        </w:rPr>
      </w:pPr>
    </w:p>
    <w:p w14:paraId="4DB9074A" w14:textId="4E598B02" w:rsidR="008707BB" w:rsidRDefault="008707BB" w:rsidP="008707BB">
      <w:pPr>
        <w:rPr>
          <w:lang w:val="es-MX"/>
        </w:rPr>
      </w:pPr>
    </w:p>
    <w:p w14:paraId="5C369F7F" w14:textId="3691A7D3" w:rsidR="008707BB" w:rsidRDefault="008707BB" w:rsidP="008707BB">
      <w:pPr>
        <w:rPr>
          <w:lang w:val="es-MX"/>
        </w:rPr>
      </w:pPr>
    </w:p>
    <w:p w14:paraId="0CE01795" w14:textId="0BF55F03" w:rsidR="008707BB" w:rsidRDefault="008707BB" w:rsidP="008707BB">
      <w:pPr>
        <w:rPr>
          <w:lang w:val="es-MX"/>
        </w:rPr>
      </w:pPr>
    </w:p>
    <w:p w14:paraId="5F4AAC30" w14:textId="4EBC8CD2" w:rsidR="008707BB" w:rsidRDefault="008707BB" w:rsidP="008707BB">
      <w:pPr>
        <w:rPr>
          <w:lang w:val="es-MX"/>
        </w:rPr>
      </w:pPr>
    </w:p>
    <w:p w14:paraId="327336E5" w14:textId="090DCA88" w:rsidR="008707BB" w:rsidRDefault="008707BB" w:rsidP="008707BB">
      <w:pPr>
        <w:rPr>
          <w:lang w:val="es-MX"/>
        </w:rPr>
      </w:pPr>
    </w:p>
    <w:p w14:paraId="711F86FD" w14:textId="1F90CF89" w:rsidR="008707BB" w:rsidRDefault="008707BB" w:rsidP="008707BB">
      <w:pPr>
        <w:rPr>
          <w:lang w:val="es-MX"/>
        </w:rPr>
      </w:pPr>
    </w:p>
    <w:p w14:paraId="11767C8F" w14:textId="09953FDC" w:rsidR="008707BB" w:rsidRDefault="008707BB" w:rsidP="008707BB">
      <w:pPr>
        <w:rPr>
          <w:lang w:val="es-MX"/>
        </w:rPr>
      </w:pPr>
    </w:p>
    <w:p w14:paraId="3DBFA075" w14:textId="7B7B718E" w:rsidR="008707BB" w:rsidRDefault="008707BB" w:rsidP="008707BB">
      <w:pPr>
        <w:rPr>
          <w:lang w:val="es-MX"/>
        </w:rPr>
      </w:pPr>
    </w:p>
    <w:p w14:paraId="49C0589C" w14:textId="7314349B" w:rsidR="008707BB" w:rsidRDefault="008707BB" w:rsidP="008707BB">
      <w:pPr>
        <w:rPr>
          <w:lang w:val="es-MX"/>
        </w:rPr>
      </w:pPr>
    </w:p>
    <w:p w14:paraId="693319A3" w14:textId="686B81D1" w:rsidR="008707BB" w:rsidRDefault="008707BB" w:rsidP="008707BB">
      <w:pPr>
        <w:rPr>
          <w:lang w:val="es-MX"/>
        </w:rPr>
      </w:pPr>
    </w:p>
    <w:p w14:paraId="7F601593" w14:textId="2428A2C3" w:rsidR="008707BB" w:rsidRDefault="008707BB" w:rsidP="008707BB">
      <w:pPr>
        <w:rPr>
          <w:lang w:val="es-MX"/>
        </w:rPr>
      </w:pPr>
    </w:p>
    <w:p w14:paraId="45F8DE25" w14:textId="776EF9F8" w:rsidR="008707BB" w:rsidRDefault="008707BB" w:rsidP="008707BB">
      <w:pPr>
        <w:rPr>
          <w:lang w:val="es-MX"/>
        </w:rPr>
      </w:pPr>
    </w:p>
    <w:p w14:paraId="777898B3" w14:textId="688703BC" w:rsidR="008707BB" w:rsidRDefault="008707BB" w:rsidP="008707BB">
      <w:pPr>
        <w:rPr>
          <w:lang w:val="es-MX"/>
        </w:rPr>
      </w:pPr>
    </w:p>
    <w:p w14:paraId="1EA7351E" w14:textId="0FAD7001" w:rsidR="008707BB" w:rsidRDefault="008707BB" w:rsidP="008707BB">
      <w:pPr>
        <w:rPr>
          <w:lang w:val="es-MX"/>
        </w:rPr>
      </w:pPr>
    </w:p>
    <w:p w14:paraId="0BAEA15F" w14:textId="4571662B" w:rsidR="008707BB" w:rsidRDefault="008707BB" w:rsidP="008707BB">
      <w:pPr>
        <w:rPr>
          <w:lang w:val="es-MX"/>
        </w:rPr>
      </w:pPr>
    </w:p>
    <w:p w14:paraId="2A69635A" w14:textId="28154478" w:rsidR="008707BB" w:rsidRDefault="008707BB" w:rsidP="008707BB">
      <w:pPr>
        <w:rPr>
          <w:lang w:val="es-MX"/>
        </w:rPr>
      </w:pPr>
    </w:p>
    <w:p w14:paraId="52F08217" w14:textId="6FBB85AB" w:rsidR="008707BB" w:rsidRDefault="008707BB" w:rsidP="008707BB">
      <w:pPr>
        <w:rPr>
          <w:lang w:val="es-MX"/>
        </w:rPr>
      </w:pPr>
    </w:p>
    <w:p w14:paraId="0803DEBF" w14:textId="1784EEFA" w:rsidR="008707BB" w:rsidRDefault="008707BB" w:rsidP="008707BB">
      <w:pPr>
        <w:rPr>
          <w:lang w:val="es-MX"/>
        </w:rPr>
      </w:pPr>
    </w:p>
    <w:p w14:paraId="61D09907" w14:textId="1A8B81D4" w:rsidR="008707BB" w:rsidRDefault="008707BB" w:rsidP="008707BB">
      <w:pPr>
        <w:rPr>
          <w:lang w:val="es-MX"/>
        </w:rPr>
      </w:pPr>
    </w:p>
    <w:p w14:paraId="75006526" w14:textId="77777777" w:rsidR="008707BB" w:rsidRDefault="008707BB" w:rsidP="008707BB">
      <w:pPr>
        <w:rPr>
          <w:lang w:val="es-MX"/>
        </w:rPr>
      </w:pPr>
    </w:p>
    <w:p w14:paraId="1C0EACE4" w14:textId="77777777" w:rsidR="008707BB" w:rsidRPr="008707BB" w:rsidRDefault="008707BB" w:rsidP="008707BB">
      <w:pPr>
        <w:rPr>
          <w:lang w:val="es-MX"/>
        </w:rPr>
      </w:pPr>
    </w:p>
    <w:p w14:paraId="7A0FF3D2" w14:textId="77777777" w:rsidR="00B53EC3" w:rsidRDefault="00B53EC3" w:rsidP="00831D82">
      <w:pPr>
        <w:pStyle w:val="Ttulo2"/>
        <w:jc w:val="center"/>
        <w:rPr>
          <w:rFonts w:ascii="Museo Sans 300" w:hAnsi="Museo Sans 300"/>
          <w:b/>
          <w:sz w:val="22"/>
          <w:szCs w:val="22"/>
          <w:lang w:val="es-MX"/>
        </w:rPr>
      </w:pPr>
    </w:p>
    <w:p w14:paraId="5109B467" w14:textId="77777777" w:rsidR="00BE54F5" w:rsidRPr="008707BB" w:rsidRDefault="00AA7D08" w:rsidP="00831D82">
      <w:pPr>
        <w:pStyle w:val="Ttulo2"/>
        <w:jc w:val="center"/>
        <w:rPr>
          <w:rFonts w:ascii="Museo Sans 300" w:hAnsi="Museo Sans 300"/>
          <w:b/>
          <w:sz w:val="52"/>
          <w:szCs w:val="52"/>
          <w:lang w:val="es-MX"/>
        </w:rPr>
      </w:pPr>
      <w:bookmarkStart w:id="73" w:name="_Toc116389146"/>
      <w:r w:rsidRPr="008707BB">
        <w:rPr>
          <w:rFonts w:ascii="Museo Sans 300" w:hAnsi="Museo Sans 300"/>
          <w:b/>
          <w:sz w:val="52"/>
          <w:szCs w:val="52"/>
          <w:lang w:val="es-MX"/>
        </w:rPr>
        <w:t>5</w:t>
      </w:r>
      <w:r w:rsidR="004423E5" w:rsidRPr="008707BB">
        <w:rPr>
          <w:rFonts w:ascii="Museo Sans 300" w:hAnsi="Museo Sans 300"/>
          <w:b/>
          <w:sz w:val="52"/>
          <w:szCs w:val="52"/>
          <w:lang w:val="es-MX"/>
        </w:rPr>
        <w:t xml:space="preserve">. </w:t>
      </w:r>
      <w:r w:rsidR="00D703ED" w:rsidRPr="008707BB">
        <w:rPr>
          <w:rFonts w:ascii="Museo Sans 300" w:hAnsi="Museo Sans 300"/>
          <w:b/>
          <w:sz w:val="52"/>
          <w:szCs w:val="52"/>
          <w:lang w:val="es-MX"/>
        </w:rPr>
        <w:t>A</w:t>
      </w:r>
      <w:r w:rsidR="00620488" w:rsidRPr="008707BB">
        <w:rPr>
          <w:rFonts w:ascii="Museo Sans 300" w:hAnsi="Museo Sans 300"/>
          <w:b/>
          <w:sz w:val="52"/>
          <w:szCs w:val="52"/>
          <w:lang w:val="es-MX"/>
        </w:rPr>
        <w:t>NEXOS</w:t>
      </w:r>
      <w:bookmarkEnd w:id="72"/>
      <w:bookmarkEnd w:id="73"/>
    </w:p>
    <w:p w14:paraId="7C5AA9A8" w14:textId="77777777" w:rsidR="00620488" w:rsidRPr="00CD1FD1" w:rsidRDefault="00620488" w:rsidP="004A685A">
      <w:pPr>
        <w:jc w:val="both"/>
        <w:rPr>
          <w:rFonts w:ascii="Museo Sans 300" w:hAnsi="Museo Sans 300"/>
          <w:b/>
          <w:sz w:val="22"/>
          <w:szCs w:val="22"/>
          <w:lang w:val="es-MX"/>
        </w:rPr>
      </w:pPr>
    </w:p>
    <w:p w14:paraId="3D2B94DB" w14:textId="77777777" w:rsidR="00B80A8E" w:rsidRPr="00CD1FD1" w:rsidRDefault="00B80A8E" w:rsidP="004A685A">
      <w:pPr>
        <w:jc w:val="both"/>
        <w:rPr>
          <w:rFonts w:ascii="Museo Sans 300" w:hAnsi="Museo Sans 300"/>
          <w:sz w:val="22"/>
          <w:szCs w:val="22"/>
          <w:lang w:val="es-MX"/>
        </w:rPr>
      </w:pPr>
    </w:p>
    <w:p w14:paraId="4BFA7517" w14:textId="77777777" w:rsidR="00650F9B" w:rsidRDefault="00650F9B" w:rsidP="004A685A">
      <w:pPr>
        <w:jc w:val="center"/>
        <w:rPr>
          <w:rFonts w:ascii="Museo Sans 300" w:hAnsi="Museo Sans 300"/>
          <w:b/>
          <w:sz w:val="22"/>
          <w:szCs w:val="22"/>
          <w:lang w:val="es-MX"/>
        </w:rPr>
      </w:pPr>
    </w:p>
    <w:p w14:paraId="626AE3E5" w14:textId="77777777" w:rsidR="001C7095" w:rsidRDefault="001C7095" w:rsidP="004A685A">
      <w:pPr>
        <w:jc w:val="center"/>
        <w:rPr>
          <w:rFonts w:ascii="Museo Sans 300" w:hAnsi="Museo Sans 300"/>
          <w:b/>
          <w:sz w:val="22"/>
          <w:szCs w:val="22"/>
          <w:lang w:val="es-MX"/>
        </w:rPr>
      </w:pPr>
    </w:p>
    <w:p w14:paraId="39B5C1A7" w14:textId="77777777" w:rsidR="001C7095" w:rsidRDefault="001C7095" w:rsidP="004A685A">
      <w:pPr>
        <w:jc w:val="center"/>
        <w:rPr>
          <w:rFonts w:ascii="Museo Sans 300" w:hAnsi="Museo Sans 300"/>
          <w:b/>
          <w:sz w:val="22"/>
          <w:szCs w:val="22"/>
          <w:lang w:val="es-MX"/>
        </w:rPr>
      </w:pPr>
    </w:p>
    <w:p w14:paraId="0CD2E802" w14:textId="77777777" w:rsidR="001C7095" w:rsidRDefault="001C7095" w:rsidP="004A685A">
      <w:pPr>
        <w:jc w:val="center"/>
        <w:rPr>
          <w:rFonts w:ascii="Museo Sans 300" w:hAnsi="Museo Sans 300"/>
          <w:b/>
          <w:sz w:val="22"/>
          <w:szCs w:val="22"/>
          <w:lang w:val="es-MX"/>
        </w:rPr>
      </w:pPr>
    </w:p>
    <w:p w14:paraId="121B3B05" w14:textId="77777777" w:rsidR="001C7095" w:rsidRDefault="001C7095" w:rsidP="004A685A">
      <w:pPr>
        <w:jc w:val="center"/>
        <w:rPr>
          <w:rFonts w:ascii="Museo Sans 300" w:hAnsi="Museo Sans 300"/>
          <w:b/>
          <w:sz w:val="22"/>
          <w:szCs w:val="22"/>
          <w:lang w:val="es-MX"/>
        </w:rPr>
      </w:pPr>
    </w:p>
    <w:p w14:paraId="39B3DB53" w14:textId="77777777" w:rsidR="001C7095" w:rsidRDefault="001C7095" w:rsidP="004A685A">
      <w:pPr>
        <w:jc w:val="center"/>
        <w:rPr>
          <w:rFonts w:ascii="Museo Sans 300" w:hAnsi="Museo Sans 300"/>
          <w:b/>
          <w:sz w:val="22"/>
          <w:szCs w:val="22"/>
          <w:lang w:val="es-MX"/>
        </w:rPr>
      </w:pPr>
    </w:p>
    <w:p w14:paraId="43F1D4F2" w14:textId="77777777" w:rsidR="001C7095" w:rsidRDefault="001C7095" w:rsidP="004A685A">
      <w:pPr>
        <w:jc w:val="center"/>
        <w:rPr>
          <w:rFonts w:ascii="Museo Sans 300" w:hAnsi="Museo Sans 300"/>
          <w:b/>
          <w:sz w:val="22"/>
          <w:szCs w:val="22"/>
          <w:lang w:val="es-MX"/>
        </w:rPr>
      </w:pPr>
    </w:p>
    <w:p w14:paraId="2F8320EE" w14:textId="77777777" w:rsidR="001C7095" w:rsidRDefault="001C7095" w:rsidP="004A685A">
      <w:pPr>
        <w:jc w:val="center"/>
        <w:rPr>
          <w:rFonts w:ascii="Museo Sans 300" w:hAnsi="Museo Sans 300"/>
          <w:b/>
          <w:sz w:val="22"/>
          <w:szCs w:val="22"/>
          <w:lang w:val="es-MX"/>
        </w:rPr>
      </w:pPr>
    </w:p>
    <w:p w14:paraId="54931C35" w14:textId="77777777" w:rsidR="001C7095" w:rsidRDefault="001C7095" w:rsidP="004A685A">
      <w:pPr>
        <w:jc w:val="center"/>
        <w:rPr>
          <w:rFonts w:ascii="Museo Sans 300" w:hAnsi="Museo Sans 300"/>
          <w:b/>
          <w:sz w:val="22"/>
          <w:szCs w:val="22"/>
          <w:lang w:val="es-MX"/>
        </w:rPr>
      </w:pPr>
    </w:p>
    <w:p w14:paraId="2AADFD9D" w14:textId="77777777" w:rsidR="001C7095" w:rsidRDefault="001C7095" w:rsidP="004A685A">
      <w:pPr>
        <w:jc w:val="center"/>
        <w:rPr>
          <w:rFonts w:ascii="Museo Sans 300" w:hAnsi="Museo Sans 300"/>
          <w:b/>
          <w:sz w:val="22"/>
          <w:szCs w:val="22"/>
          <w:lang w:val="es-MX"/>
        </w:rPr>
      </w:pPr>
    </w:p>
    <w:p w14:paraId="6FE73A23" w14:textId="77777777" w:rsidR="001C7095" w:rsidRDefault="001C7095" w:rsidP="004A685A">
      <w:pPr>
        <w:jc w:val="center"/>
        <w:rPr>
          <w:rFonts w:ascii="Museo Sans 300" w:hAnsi="Museo Sans 300"/>
          <w:b/>
          <w:sz w:val="22"/>
          <w:szCs w:val="22"/>
          <w:lang w:val="es-MX"/>
        </w:rPr>
      </w:pPr>
    </w:p>
    <w:p w14:paraId="14AE4335" w14:textId="77777777" w:rsidR="001C7095" w:rsidRDefault="001C7095" w:rsidP="004A685A">
      <w:pPr>
        <w:jc w:val="center"/>
        <w:rPr>
          <w:rFonts w:ascii="Museo Sans 300" w:hAnsi="Museo Sans 300"/>
          <w:b/>
          <w:sz w:val="22"/>
          <w:szCs w:val="22"/>
          <w:lang w:val="es-MX"/>
        </w:rPr>
      </w:pPr>
    </w:p>
    <w:p w14:paraId="7C5510B5" w14:textId="77777777" w:rsidR="001C7095" w:rsidRDefault="001C7095" w:rsidP="004A685A">
      <w:pPr>
        <w:jc w:val="center"/>
        <w:rPr>
          <w:rFonts w:ascii="Museo Sans 300" w:hAnsi="Museo Sans 300"/>
          <w:b/>
          <w:sz w:val="22"/>
          <w:szCs w:val="22"/>
          <w:lang w:val="es-MX"/>
        </w:rPr>
      </w:pPr>
    </w:p>
    <w:p w14:paraId="666EE264" w14:textId="77777777" w:rsidR="001C7095" w:rsidRDefault="001C7095" w:rsidP="004A685A">
      <w:pPr>
        <w:jc w:val="center"/>
        <w:rPr>
          <w:rFonts w:ascii="Museo Sans 300" w:hAnsi="Museo Sans 300"/>
          <w:b/>
          <w:sz w:val="22"/>
          <w:szCs w:val="22"/>
          <w:lang w:val="es-MX"/>
        </w:rPr>
      </w:pPr>
    </w:p>
    <w:p w14:paraId="46F0133C" w14:textId="77777777" w:rsidR="001C7095" w:rsidRDefault="001C7095" w:rsidP="004A685A">
      <w:pPr>
        <w:jc w:val="center"/>
        <w:rPr>
          <w:rFonts w:ascii="Museo Sans 300" w:hAnsi="Museo Sans 300"/>
          <w:b/>
          <w:sz w:val="22"/>
          <w:szCs w:val="22"/>
          <w:lang w:val="es-MX"/>
        </w:rPr>
      </w:pPr>
    </w:p>
    <w:p w14:paraId="031EB6C6" w14:textId="77777777" w:rsidR="001C7095" w:rsidRDefault="001C7095" w:rsidP="004A685A">
      <w:pPr>
        <w:jc w:val="center"/>
        <w:rPr>
          <w:rFonts w:ascii="Museo Sans 300" w:hAnsi="Museo Sans 300"/>
          <w:b/>
          <w:sz w:val="22"/>
          <w:szCs w:val="22"/>
          <w:lang w:val="es-MX"/>
        </w:rPr>
      </w:pPr>
    </w:p>
    <w:p w14:paraId="4C567277" w14:textId="2B35596B" w:rsidR="001C7095" w:rsidRDefault="001C7095" w:rsidP="004A685A">
      <w:pPr>
        <w:jc w:val="center"/>
        <w:rPr>
          <w:rFonts w:ascii="Museo Sans 300" w:hAnsi="Museo Sans 300"/>
          <w:b/>
          <w:sz w:val="22"/>
          <w:szCs w:val="22"/>
          <w:lang w:val="es-MX"/>
        </w:rPr>
      </w:pPr>
    </w:p>
    <w:p w14:paraId="38B42607" w14:textId="7223B14F" w:rsidR="008707BB" w:rsidRDefault="008707BB" w:rsidP="004A685A">
      <w:pPr>
        <w:jc w:val="center"/>
        <w:rPr>
          <w:rFonts w:ascii="Museo Sans 300" w:hAnsi="Museo Sans 300"/>
          <w:b/>
          <w:sz w:val="22"/>
          <w:szCs w:val="22"/>
          <w:lang w:val="es-MX"/>
        </w:rPr>
      </w:pPr>
    </w:p>
    <w:p w14:paraId="5E560A93" w14:textId="25E09261" w:rsidR="008707BB" w:rsidRDefault="008707BB" w:rsidP="004A685A">
      <w:pPr>
        <w:jc w:val="center"/>
        <w:rPr>
          <w:rFonts w:ascii="Museo Sans 300" w:hAnsi="Museo Sans 300"/>
          <w:b/>
          <w:sz w:val="22"/>
          <w:szCs w:val="22"/>
          <w:lang w:val="es-MX"/>
        </w:rPr>
      </w:pPr>
    </w:p>
    <w:p w14:paraId="335C5913" w14:textId="78D1EC77" w:rsidR="008707BB" w:rsidRDefault="008707BB" w:rsidP="004A685A">
      <w:pPr>
        <w:jc w:val="center"/>
        <w:rPr>
          <w:rFonts w:ascii="Museo Sans 300" w:hAnsi="Museo Sans 300"/>
          <w:b/>
          <w:sz w:val="22"/>
          <w:szCs w:val="22"/>
          <w:lang w:val="es-MX"/>
        </w:rPr>
      </w:pPr>
    </w:p>
    <w:p w14:paraId="286984C6" w14:textId="73175700" w:rsidR="008707BB" w:rsidRDefault="008707BB" w:rsidP="004A685A">
      <w:pPr>
        <w:jc w:val="center"/>
        <w:rPr>
          <w:rFonts w:ascii="Museo Sans 300" w:hAnsi="Museo Sans 300"/>
          <w:b/>
          <w:sz w:val="22"/>
          <w:szCs w:val="22"/>
          <w:lang w:val="es-MX"/>
        </w:rPr>
      </w:pPr>
    </w:p>
    <w:p w14:paraId="6171883E" w14:textId="5B84AC6E" w:rsidR="008707BB" w:rsidRDefault="008707BB" w:rsidP="004A685A">
      <w:pPr>
        <w:jc w:val="center"/>
        <w:rPr>
          <w:rFonts w:ascii="Museo Sans 300" w:hAnsi="Museo Sans 300"/>
          <w:b/>
          <w:sz w:val="22"/>
          <w:szCs w:val="22"/>
          <w:lang w:val="es-MX"/>
        </w:rPr>
      </w:pPr>
    </w:p>
    <w:p w14:paraId="7D540F0E" w14:textId="1CD28F70" w:rsidR="008707BB" w:rsidRDefault="008707BB" w:rsidP="004A685A">
      <w:pPr>
        <w:jc w:val="center"/>
        <w:rPr>
          <w:rFonts w:ascii="Museo Sans 300" w:hAnsi="Museo Sans 300"/>
          <w:b/>
          <w:sz w:val="22"/>
          <w:szCs w:val="22"/>
          <w:lang w:val="es-MX"/>
        </w:rPr>
      </w:pPr>
    </w:p>
    <w:p w14:paraId="54D57F32" w14:textId="77777777" w:rsidR="008707BB" w:rsidRDefault="008707BB" w:rsidP="004A685A">
      <w:pPr>
        <w:jc w:val="center"/>
        <w:rPr>
          <w:rFonts w:ascii="Museo Sans 300" w:hAnsi="Museo Sans 300"/>
          <w:b/>
          <w:sz w:val="22"/>
          <w:szCs w:val="22"/>
          <w:lang w:val="es-MX"/>
        </w:rPr>
      </w:pPr>
    </w:p>
    <w:p w14:paraId="2B722357" w14:textId="77777777" w:rsidR="001C7095" w:rsidRDefault="001C7095" w:rsidP="004A685A">
      <w:pPr>
        <w:jc w:val="center"/>
        <w:rPr>
          <w:rFonts w:ascii="Museo Sans 300" w:hAnsi="Museo Sans 300"/>
          <w:b/>
          <w:sz w:val="22"/>
          <w:szCs w:val="22"/>
          <w:lang w:val="es-MX"/>
        </w:rPr>
      </w:pPr>
    </w:p>
    <w:p w14:paraId="54C27E7F" w14:textId="77777777" w:rsidR="001C7095" w:rsidRDefault="001C7095" w:rsidP="004A685A">
      <w:pPr>
        <w:jc w:val="center"/>
        <w:rPr>
          <w:rFonts w:ascii="Museo Sans 300" w:hAnsi="Museo Sans 300"/>
          <w:b/>
          <w:sz w:val="22"/>
          <w:szCs w:val="22"/>
          <w:lang w:val="es-MX"/>
        </w:rPr>
      </w:pPr>
    </w:p>
    <w:p w14:paraId="447BA953" w14:textId="77777777" w:rsidR="00620488" w:rsidRPr="00CD1FD1" w:rsidRDefault="00620488" w:rsidP="004A685A">
      <w:pPr>
        <w:jc w:val="center"/>
        <w:rPr>
          <w:rFonts w:ascii="Museo Sans 300" w:hAnsi="Museo Sans 300"/>
          <w:b/>
          <w:sz w:val="22"/>
          <w:szCs w:val="22"/>
          <w:lang w:val="es-MX"/>
        </w:rPr>
      </w:pPr>
      <w:r w:rsidRPr="00CD1FD1">
        <w:rPr>
          <w:rFonts w:ascii="Museo Sans 300" w:hAnsi="Museo Sans 300"/>
          <w:b/>
          <w:sz w:val="22"/>
          <w:szCs w:val="22"/>
          <w:lang w:val="es-MX"/>
        </w:rPr>
        <w:lastRenderedPageBreak/>
        <w:t xml:space="preserve">Anexo 1: Ejecución del SPNF </w:t>
      </w:r>
      <w:r w:rsidR="00355D4B" w:rsidRPr="00CD1FD1">
        <w:rPr>
          <w:rFonts w:ascii="Museo Sans 300" w:hAnsi="Museo Sans 300"/>
          <w:b/>
          <w:sz w:val="22"/>
          <w:szCs w:val="22"/>
          <w:lang w:val="es-MX"/>
        </w:rPr>
        <w:t xml:space="preserve">a </w:t>
      </w:r>
      <w:r w:rsidR="00C722FC">
        <w:rPr>
          <w:rFonts w:ascii="Museo Sans 300" w:hAnsi="Museo Sans 300"/>
          <w:b/>
          <w:sz w:val="22"/>
          <w:szCs w:val="22"/>
          <w:lang w:val="es-MX"/>
        </w:rPr>
        <w:t>junio</w:t>
      </w:r>
      <w:r w:rsidR="00355D4B" w:rsidRPr="00CD1FD1">
        <w:rPr>
          <w:rFonts w:ascii="Museo Sans 300" w:hAnsi="Museo Sans 300"/>
          <w:b/>
          <w:sz w:val="22"/>
          <w:szCs w:val="22"/>
          <w:lang w:val="es-MX"/>
        </w:rPr>
        <w:t xml:space="preserve"> 2022</w:t>
      </w:r>
      <w:r w:rsidR="000B748E" w:rsidRPr="00CD1FD1">
        <w:rPr>
          <w:rFonts w:ascii="Museo Sans 300" w:hAnsi="Museo Sans 300"/>
          <w:b/>
          <w:sz w:val="22"/>
          <w:szCs w:val="22"/>
          <w:lang w:val="es-MX"/>
        </w:rPr>
        <w:t xml:space="preserve"> </w:t>
      </w:r>
      <w:r w:rsidRPr="00CD1FD1">
        <w:rPr>
          <w:rFonts w:ascii="Museo Sans 300" w:hAnsi="Museo Sans 300"/>
          <w:b/>
          <w:sz w:val="22"/>
          <w:szCs w:val="22"/>
          <w:lang w:val="es-MX"/>
        </w:rPr>
        <w:t>-</w:t>
      </w:r>
      <w:r w:rsidR="000B748E" w:rsidRPr="00CD1FD1">
        <w:rPr>
          <w:rFonts w:ascii="Museo Sans 300" w:hAnsi="Museo Sans 300"/>
          <w:b/>
          <w:sz w:val="22"/>
          <w:szCs w:val="22"/>
          <w:lang w:val="es-MX"/>
        </w:rPr>
        <w:t xml:space="preserve"> </w:t>
      </w:r>
      <w:r w:rsidR="00042C94" w:rsidRPr="00CD1FD1">
        <w:rPr>
          <w:rFonts w:ascii="Museo Sans 300" w:hAnsi="Museo Sans 300"/>
          <w:b/>
          <w:sz w:val="22"/>
          <w:szCs w:val="22"/>
          <w:lang w:val="es-MX"/>
        </w:rPr>
        <w:t>202</w:t>
      </w:r>
      <w:r w:rsidR="00391D19" w:rsidRPr="00CD1FD1">
        <w:rPr>
          <w:rFonts w:ascii="Museo Sans 300" w:hAnsi="Museo Sans 300"/>
          <w:b/>
          <w:sz w:val="22"/>
          <w:szCs w:val="22"/>
          <w:lang w:val="es-MX"/>
        </w:rPr>
        <w:t>1</w:t>
      </w:r>
    </w:p>
    <w:p w14:paraId="571BB12A" w14:textId="77777777" w:rsidR="00620488" w:rsidRPr="00CD1FD1" w:rsidRDefault="0061270D" w:rsidP="004A685A">
      <w:pPr>
        <w:jc w:val="center"/>
        <w:rPr>
          <w:rFonts w:ascii="Museo Sans 300" w:hAnsi="Museo Sans 300"/>
          <w:b/>
          <w:sz w:val="22"/>
          <w:szCs w:val="22"/>
          <w:lang w:val="es-MX"/>
        </w:rPr>
      </w:pPr>
      <w:r w:rsidRPr="00CD1FD1">
        <w:rPr>
          <w:rFonts w:ascii="Museo Sans 300" w:hAnsi="Museo Sans 300"/>
          <w:sz w:val="22"/>
          <w:szCs w:val="22"/>
        </w:rPr>
        <w:t xml:space="preserve"> </w:t>
      </w:r>
      <w:r w:rsidR="000B748E" w:rsidRPr="00CD1FD1">
        <w:rPr>
          <w:rFonts w:ascii="Museo Sans 300" w:hAnsi="Museo Sans 300"/>
          <w:sz w:val="22"/>
          <w:szCs w:val="22"/>
        </w:rPr>
        <w:t xml:space="preserve"> </w:t>
      </w:r>
      <w:r w:rsidR="00620488" w:rsidRPr="00CD1FD1">
        <w:rPr>
          <w:rFonts w:ascii="Museo Sans 300" w:hAnsi="Museo Sans 300"/>
          <w:b/>
          <w:sz w:val="22"/>
          <w:szCs w:val="22"/>
          <w:lang w:val="es-MX"/>
        </w:rPr>
        <w:t>(Millones de $)</w:t>
      </w:r>
    </w:p>
    <w:p w14:paraId="5C687432" w14:textId="77777777" w:rsidR="00FB2ADD" w:rsidRPr="00CD1FD1" w:rsidRDefault="00C33579" w:rsidP="004A685A">
      <w:pPr>
        <w:jc w:val="center"/>
        <w:rPr>
          <w:rFonts w:ascii="Museo Sans 300" w:hAnsi="Museo Sans 300"/>
          <w:b/>
          <w:sz w:val="22"/>
          <w:szCs w:val="22"/>
          <w:lang w:val="es-MX"/>
        </w:rPr>
      </w:pPr>
      <w:r w:rsidRPr="00C33579">
        <w:rPr>
          <w:noProof/>
        </w:rPr>
        <w:drawing>
          <wp:inline distT="0" distB="0" distL="0" distR="0" wp14:anchorId="33EFB845" wp14:editId="0E7D0F5A">
            <wp:extent cx="5971540" cy="597154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5971540"/>
                    </a:xfrm>
                    <a:prstGeom prst="rect">
                      <a:avLst/>
                    </a:prstGeom>
                    <a:noFill/>
                    <a:ln>
                      <a:noFill/>
                    </a:ln>
                  </pic:spPr>
                </pic:pic>
              </a:graphicData>
            </a:graphic>
          </wp:inline>
        </w:drawing>
      </w:r>
    </w:p>
    <w:p w14:paraId="2E3E7722" w14:textId="77777777" w:rsidR="0061270D" w:rsidRPr="00CD1FD1" w:rsidRDefault="0061270D" w:rsidP="004A685A">
      <w:pPr>
        <w:jc w:val="both"/>
        <w:rPr>
          <w:rFonts w:ascii="Museo Sans 300" w:hAnsi="Museo Sans 300"/>
          <w:sz w:val="22"/>
          <w:szCs w:val="22"/>
          <w:lang w:val="es-MX"/>
        </w:rPr>
      </w:pPr>
    </w:p>
    <w:p w14:paraId="2D6D2C71" w14:textId="77777777" w:rsidR="00350D29" w:rsidRPr="00CD1FD1" w:rsidRDefault="00350D29" w:rsidP="004A685A">
      <w:pPr>
        <w:jc w:val="both"/>
        <w:rPr>
          <w:rFonts w:ascii="Museo Sans 300" w:hAnsi="Museo Sans 300"/>
          <w:sz w:val="22"/>
          <w:szCs w:val="22"/>
          <w:lang w:val="es-MX"/>
        </w:rPr>
      </w:pPr>
    </w:p>
    <w:p w14:paraId="504EC3C4" w14:textId="77777777" w:rsidR="00C463BB" w:rsidRPr="00CD1FD1" w:rsidRDefault="00C463BB" w:rsidP="004A685A">
      <w:pPr>
        <w:jc w:val="center"/>
        <w:rPr>
          <w:rFonts w:ascii="Museo Sans 300" w:hAnsi="Museo Sans 300"/>
          <w:b/>
          <w:sz w:val="22"/>
          <w:szCs w:val="22"/>
          <w:lang w:val="es-MX"/>
        </w:rPr>
      </w:pPr>
    </w:p>
    <w:p w14:paraId="78B91270" w14:textId="77777777" w:rsidR="00C17B7C" w:rsidRPr="00CD1FD1" w:rsidRDefault="00C17B7C" w:rsidP="004A685A">
      <w:pPr>
        <w:jc w:val="center"/>
        <w:rPr>
          <w:rFonts w:ascii="Museo Sans 300" w:hAnsi="Museo Sans 300"/>
          <w:b/>
          <w:sz w:val="22"/>
          <w:szCs w:val="22"/>
          <w:lang w:val="es-MX"/>
        </w:rPr>
      </w:pPr>
    </w:p>
    <w:p w14:paraId="6F054387" w14:textId="77777777" w:rsidR="00C33579" w:rsidRDefault="00C33579" w:rsidP="004A685A">
      <w:pPr>
        <w:jc w:val="center"/>
        <w:rPr>
          <w:rFonts w:ascii="Museo Sans 300" w:hAnsi="Museo Sans 300"/>
          <w:b/>
          <w:sz w:val="22"/>
          <w:szCs w:val="22"/>
          <w:lang w:val="es-MX"/>
        </w:rPr>
      </w:pPr>
    </w:p>
    <w:p w14:paraId="37FC812A" w14:textId="77777777" w:rsidR="00C33579" w:rsidRDefault="00C33579" w:rsidP="004A685A">
      <w:pPr>
        <w:jc w:val="center"/>
        <w:rPr>
          <w:rFonts w:ascii="Museo Sans 300" w:hAnsi="Museo Sans 300"/>
          <w:b/>
          <w:sz w:val="22"/>
          <w:szCs w:val="22"/>
          <w:lang w:val="es-MX"/>
        </w:rPr>
      </w:pPr>
    </w:p>
    <w:p w14:paraId="6CF3EA1E" w14:textId="77777777" w:rsidR="00C33579" w:rsidRDefault="00C33579" w:rsidP="004A685A">
      <w:pPr>
        <w:jc w:val="center"/>
        <w:rPr>
          <w:rFonts w:ascii="Museo Sans 300" w:hAnsi="Museo Sans 300"/>
          <w:b/>
          <w:sz w:val="22"/>
          <w:szCs w:val="22"/>
          <w:lang w:val="es-MX"/>
        </w:rPr>
      </w:pPr>
    </w:p>
    <w:p w14:paraId="64697423" w14:textId="77777777" w:rsidR="00C33579" w:rsidRDefault="00C33579" w:rsidP="004A685A">
      <w:pPr>
        <w:jc w:val="center"/>
        <w:rPr>
          <w:rFonts w:ascii="Museo Sans 300" w:hAnsi="Museo Sans 300"/>
          <w:b/>
          <w:sz w:val="22"/>
          <w:szCs w:val="22"/>
          <w:lang w:val="es-MX"/>
        </w:rPr>
      </w:pPr>
    </w:p>
    <w:p w14:paraId="3C994AA4" w14:textId="77777777" w:rsidR="00C33579" w:rsidRDefault="00C33579" w:rsidP="004A685A">
      <w:pPr>
        <w:jc w:val="center"/>
        <w:rPr>
          <w:rFonts w:ascii="Museo Sans 300" w:hAnsi="Museo Sans 300"/>
          <w:b/>
          <w:sz w:val="22"/>
          <w:szCs w:val="22"/>
          <w:lang w:val="es-MX"/>
        </w:rPr>
      </w:pPr>
    </w:p>
    <w:p w14:paraId="5FD14CF1" w14:textId="77777777" w:rsidR="00C33579" w:rsidRDefault="00C33579" w:rsidP="004A685A">
      <w:pPr>
        <w:jc w:val="center"/>
        <w:rPr>
          <w:rFonts w:ascii="Museo Sans 300" w:hAnsi="Museo Sans 300"/>
          <w:b/>
          <w:sz w:val="22"/>
          <w:szCs w:val="22"/>
          <w:lang w:val="es-MX"/>
        </w:rPr>
      </w:pPr>
    </w:p>
    <w:p w14:paraId="7B81B1CF" w14:textId="77777777" w:rsidR="00C33579" w:rsidRDefault="00C33579" w:rsidP="004A685A">
      <w:pPr>
        <w:jc w:val="center"/>
        <w:rPr>
          <w:rFonts w:ascii="Museo Sans 300" w:hAnsi="Museo Sans 300"/>
          <w:b/>
          <w:sz w:val="22"/>
          <w:szCs w:val="22"/>
          <w:lang w:val="es-MX"/>
        </w:rPr>
      </w:pPr>
    </w:p>
    <w:p w14:paraId="398F407F" w14:textId="77777777" w:rsidR="00C33579" w:rsidRDefault="00C33579" w:rsidP="004A685A">
      <w:pPr>
        <w:jc w:val="center"/>
        <w:rPr>
          <w:rFonts w:ascii="Museo Sans 300" w:hAnsi="Museo Sans 300"/>
          <w:b/>
          <w:sz w:val="22"/>
          <w:szCs w:val="22"/>
          <w:lang w:val="es-MX"/>
        </w:rPr>
      </w:pPr>
    </w:p>
    <w:p w14:paraId="47AA0A00" w14:textId="77777777" w:rsidR="00620488" w:rsidRPr="00CD1FD1" w:rsidRDefault="00620488" w:rsidP="004A685A">
      <w:pPr>
        <w:jc w:val="center"/>
        <w:rPr>
          <w:rFonts w:ascii="Museo Sans 300" w:hAnsi="Museo Sans 300"/>
          <w:b/>
          <w:sz w:val="22"/>
          <w:szCs w:val="22"/>
          <w:lang w:val="es-MX"/>
        </w:rPr>
      </w:pPr>
      <w:r w:rsidRPr="00CD1FD1">
        <w:rPr>
          <w:rFonts w:ascii="Museo Sans 300" w:hAnsi="Museo Sans 300"/>
          <w:b/>
          <w:sz w:val="22"/>
          <w:szCs w:val="22"/>
          <w:lang w:val="es-MX"/>
        </w:rPr>
        <w:lastRenderedPageBreak/>
        <w:t xml:space="preserve">Anexo 2: </w:t>
      </w:r>
      <w:r w:rsidR="0052116C" w:rsidRPr="00CD1FD1">
        <w:rPr>
          <w:rFonts w:ascii="Museo Sans 300" w:hAnsi="Museo Sans 300"/>
          <w:b/>
          <w:sz w:val="22"/>
          <w:szCs w:val="22"/>
          <w:lang w:val="es-MX"/>
        </w:rPr>
        <w:t xml:space="preserve">Ejecución del SPNF </w:t>
      </w:r>
      <w:r w:rsidR="00355D4B" w:rsidRPr="00CD1FD1">
        <w:rPr>
          <w:rFonts w:ascii="Museo Sans 300" w:hAnsi="Museo Sans 300"/>
          <w:b/>
          <w:sz w:val="22"/>
          <w:szCs w:val="22"/>
          <w:lang w:val="es-MX"/>
        </w:rPr>
        <w:t xml:space="preserve">a </w:t>
      </w:r>
      <w:r w:rsidR="00C722FC">
        <w:rPr>
          <w:rFonts w:ascii="Museo Sans 300" w:hAnsi="Museo Sans 300"/>
          <w:b/>
          <w:sz w:val="22"/>
          <w:szCs w:val="22"/>
          <w:lang w:val="es-MX"/>
        </w:rPr>
        <w:t>junio</w:t>
      </w:r>
      <w:r w:rsidR="00355D4B" w:rsidRPr="00CD1FD1">
        <w:rPr>
          <w:rFonts w:ascii="Museo Sans 300" w:hAnsi="Museo Sans 300"/>
          <w:b/>
          <w:sz w:val="22"/>
          <w:szCs w:val="22"/>
          <w:lang w:val="es-MX"/>
        </w:rPr>
        <w:t xml:space="preserve"> 2022</w:t>
      </w:r>
      <w:r w:rsidR="0052116C" w:rsidRPr="00CD1FD1">
        <w:rPr>
          <w:rFonts w:ascii="Museo Sans 300" w:hAnsi="Museo Sans 300"/>
          <w:b/>
          <w:sz w:val="22"/>
          <w:szCs w:val="22"/>
          <w:lang w:val="es-MX"/>
        </w:rPr>
        <w:t>-</w:t>
      </w:r>
      <w:r w:rsidR="00042C94" w:rsidRPr="00CD1FD1">
        <w:rPr>
          <w:rFonts w:ascii="Museo Sans 300" w:hAnsi="Museo Sans 300"/>
          <w:b/>
          <w:sz w:val="22"/>
          <w:szCs w:val="22"/>
          <w:lang w:val="es-MX"/>
        </w:rPr>
        <w:t>202</w:t>
      </w:r>
      <w:r w:rsidR="00E5417D" w:rsidRPr="00CD1FD1">
        <w:rPr>
          <w:rFonts w:ascii="Museo Sans 300" w:hAnsi="Museo Sans 300"/>
          <w:b/>
          <w:sz w:val="22"/>
          <w:szCs w:val="22"/>
          <w:lang w:val="es-MX"/>
        </w:rPr>
        <w:t>1</w:t>
      </w:r>
    </w:p>
    <w:p w14:paraId="614E6EE0" w14:textId="77777777" w:rsidR="00620488" w:rsidRDefault="00620488" w:rsidP="004A685A">
      <w:pPr>
        <w:jc w:val="center"/>
        <w:rPr>
          <w:rFonts w:ascii="Museo Sans 300" w:hAnsi="Museo Sans 300"/>
          <w:b/>
          <w:sz w:val="22"/>
          <w:szCs w:val="22"/>
          <w:lang w:val="es-MX"/>
        </w:rPr>
      </w:pPr>
      <w:r w:rsidRPr="00CD1FD1">
        <w:rPr>
          <w:rFonts w:ascii="Museo Sans 300" w:hAnsi="Museo Sans 300"/>
          <w:b/>
          <w:sz w:val="22"/>
          <w:szCs w:val="22"/>
          <w:lang w:val="es-MX"/>
        </w:rPr>
        <w:t>(Porcentajes del PIB)</w:t>
      </w:r>
    </w:p>
    <w:p w14:paraId="19006F27" w14:textId="77777777" w:rsidR="00FB2ADD" w:rsidRPr="00CD1FD1" w:rsidRDefault="00C33579" w:rsidP="004A685A">
      <w:pPr>
        <w:jc w:val="center"/>
        <w:rPr>
          <w:rFonts w:ascii="Museo Sans 300" w:hAnsi="Museo Sans 300"/>
          <w:b/>
          <w:sz w:val="22"/>
          <w:szCs w:val="22"/>
          <w:lang w:val="es-MX"/>
        </w:rPr>
      </w:pPr>
      <w:r w:rsidRPr="00C33579">
        <w:rPr>
          <w:noProof/>
        </w:rPr>
        <w:drawing>
          <wp:inline distT="0" distB="0" distL="0" distR="0" wp14:anchorId="6EC2B2D4" wp14:editId="3E5365A1">
            <wp:extent cx="5069006" cy="710567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666" cy="7122015"/>
                    </a:xfrm>
                    <a:prstGeom prst="rect">
                      <a:avLst/>
                    </a:prstGeom>
                    <a:noFill/>
                    <a:ln>
                      <a:noFill/>
                    </a:ln>
                  </pic:spPr>
                </pic:pic>
              </a:graphicData>
            </a:graphic>
          </wp:inline>
        </w:drawing>
      </w:r>
    </w:p>
    <w:p w14:paraId="40B4F499" w14:textId="1D7D9442" w:rsidR="00F02ABE" w:rsidRDefault="00F02ABE" w:rsidP="004A685A">
      <w:pPr>
        <w:jc w:val="center"/>
        <w:rPr>
          <w:rFonts w:ascii="Museo Sans 300" w:hAnsi="Museo Sans 300"/>
          <w:b/>
          <w:sz w:val="22"/>
          <w:szCs w:val="22"/>
          <w:lang w:val="es-MX"/>
        </w:rPr>
      </w:pPr>
    </w:p>
    <w:p w14:paraId="75AD5B73" w14:textId="169A42D1" w:rsidR="008707BB" w:rsidRDefault="008707BB" w:rsidP="004A685A">
      <w:pPr>
        <w:jc w:val="center"/>
        <w:rPr>
          <w:rFonts w:ascii="Museo Sans 300" w:hAnsi="Museo Sans 300"/>
          <w:b/>
          <w:sz w:val="22"/>
          <w:szCs w:val="22"/>
          <w:lang w:val="es-MX"/>
        </w:rPr>
      </w:pPr>
    </w:p>
    <w:p w14:paraId="3701FF1A" w14:textId="77777777" w:rsidR="008707BB" w:rsidRDefault="008707BB" w:rsidP="004A685A">
      <w:pPr>
        <w:jc w:val="center"/>
        <w:rPr>
          <w:rFonts w:ascii="Museo Sans 300" w:hAnsi="Museo Sans 300"/>
          <w:b/>
          <w:sz w:val="22"/>
          <w:szCs w:val="22"/>
          <w:lang w:val="es-MX"/>
        </w:rPr>
      </w:pPr>
    </w:p>
    <w:p w14:paraId="79186BB8" w14:textId="77777777" w:rsidR="003F74EF" w:rsidRDefault="003F74EF" w:rsidP="004A685A">
      <w:pPr>
        <w:jc w:val="center"/>
        <w:rPr>
          <w:rFonts w:ascii="Museo Sans 300" w:hAnsi="Museo Sans 300"/>
          <w:b/>
          <w:sz w:val="22"/>
          <w:szCs w:val="22"/>
          <w:lang w:val="es-MX"/>
        </w:rPr>
      </w:pPr>
    </w:p>
    <w:p w14:paraId="38E95F64" w14:textId="77777777" w:rsidR="003F74EF" w:rsidRDefault="003F74EF" w:rsidP="004A685A">
      <w:pPr>
        <w:jc w:val="center"/>
        <w:rPr>
          <w:rFonts w:ascii="Museo Sans 300" w:hAnsi="Museo Sans 300"/>
          <w:b/>
          <w:sz w:val="22"/>
          <w:szCs w:val="22"/>
          <w:lang w:val="es-MX"/>
        </w:rPr>
      </w:pPr>
    </w:p>
    <w:p w14:paraId="6BFD4861" w14:textId="77777777" w:rsidR="00620488" w:rsidRPr="00CD1FD1" w:rsidRDefault="00620488" w:rsidP="004A685A">
      <w:pPr>
        <w:jc w:val="center"/>
        <w:rPr>
          <w:rFonts w:ascii="Museo Sans 300" w:hAnsi="Museo Sans 300"/>
          <w:b/>
          <w:sz w:val="22"/>
          <w:szCs w:val="22"/>
          <w:lang w:val="es-MX"/>
        </w:rPr>
      </w:pPr>
      <w:r w:rsidRPr="00CD1FD1">
        <w:rPr>
          <w:rFonts w:ascii="Museo Sans 300" w:hAnsi="Museo Sans 300"/>
          <w:b/>
          <w:sz w:val="22"/>
          <w:szCs w:val="22"/>
          <w:lang w:val="es-MX"/>
        </w:rPr>
        <w:lastRenderedPageBreak/>
        <w:t>Anexo 3</w:t>
      </w:r>
      <w:r w:rsidR="003D10A0" w:rsidRPr="00CD1FD1">
        <w:rPr>
          <w:rFonts w:ascii="Museo Sans 300" w:hAnsi="Museo Sans 300"/>
          <w:b/>
          <w:sz w:val="22"/>
          <w:szCs w:val="22"/>
          <w:lang w:val="es-MX"/>
        </w:rPr>
        <w:t>: Ingresos</w:t>
      </w:r>
      <w:r w:rsidRPr="00CD1FD1">
        <w:rPr>
          <w:rFonts w:ascii="Museo Sans 300" w:hAnsi="Museo Sans 300"/>
          <w:b/>
          <w:sz w:val="22"/>
          <w:szCs w:val="22"/>
          <w:lang w:val="es-MX"/>
        </w:rPr>
        <w:t xml:space="preserve"> </w:t>
      </w:r>
      <w:r w:rsidR="00AA301A" w:rsidRPr="00CD1FD1">
        <w:rPr>
          <w:rFonts w:ascii="Museo Sans 300" w:hAnsi="Museo Sans 300"/>
          <w:b/>
          <w:sz w:val="22"/>
          <w:szCs w:val="22"/>
          <w:lang w:val="es-MX"/>
        </w:rPr>
        <w:t xml:space="preserve">Totales </w:t>
      </w:r>
      <w:r w:rsidRPr="00CD1FD1">
        <w:rPr>
          <w:rFonts w:ascii="Museo Sans 300" w:hAnsi="Museo Sans 300"/>
          <w:b/>
          <w:sz w:val="22"/>
          <w:szCs w:val="22"/>
          <w:lang w:val="es-MX"/>
        </w:rPr>
        <w:t xml:space="preserve">del </w:t>
      </w:r>
      <w:r w:rsidR="00AA301A" w:rsidRPr="00CD1FD1">
        <w:rPr>
          <w:rFonts w:ascii="Museo Sans 300" w:hAnsi="Museo Sans 300"/>
          <w:b/>
          <w:sz w:val="22"/>
          <w:szCs w:val="22"/>
          <w:lang w:val="es-MX"/>
        </w:rPr>
        <w:t xml:space="preserve">Sector </w:t>
      </w:r>
      <w:r w:rsidR="00DB11D8" w:rsidRPr="00CD1FD1">
        <w:rPr>
          <w:rFonts w:ascii="Museo Sans 300" w:hAnsi="Museo Sans 300"/>
          <w:b/>
          <w:sz w:val="22"/>
          <w:szCs w:val="22"/>
          <w:lang w:val="es-MX"/>
        </w:rPr>
        <w:t>P</w:t>
      </w:r>
      <w:r w:rsidR="00AA301A" w:rsidRPr="00CD1FD1">
        <w:rPr>
          <w:rFonts w:ascii="Museo Sans 300" w:hAnsi="Museo Sans 300"/>
          <w:b/>
          <w:sz w:val="22"/>
          <w:szCs w:val="22"/>
          <w:lang w:val="es-MX"/>
        </w:rPr>
        <w:t>úblico No Financiero</w:t>
      </w:r>
      <w:r w:rsidR="000A0064" w:rsidRPr="00CD1FD1">
        <w:rPr>
          <w:rFonts w:ascii="Museo Sans 300" w:hAnsi="Museo Sans 300"/>
          <w:b/>
          <w:sz w:val="22"/>
          <w:szCs w:val="22"/>
          <w:lang w:val="es-MX"/>
        </w:rPr>
        <w:t xml:space="preserve"> </w:t>
      </w:r>
      <w:r w:rsidR="00355D4B" w:rsidRPr="00CD1FD1">
        <w:rPr>
          <w:rFonts w:ascii="Museo Sans 300" w:hAnsi="Museo Sans 300"/>
          <w:b/>
          <w:sz w:val="22"/>
          <w:szCs w:val="22"/>
          <w:lang w:val="es-MX"/>
        </w:rPr>
        <w:t xml:space="preserve">a </w:t>
      </w:r>
      <w:r w:rsidR="00C722FC">
        <w:rPr>
          <w:rFonts w:ascii="Museo Sans 300" w:hAnsi="Museo Sans 300"/>
          <w:b/>
          <w:sz w:val="22"/>
          <w:szCs w:val="22"/>
          <w:lang w:val="es-MX"/>
        </w:rPr>
        <w:t>junio</w:t>
      </w:r>
      <w:r w:rsidR="00355D4B" w:rsidRPr="00CD1FD1">
        <w:rPr>
          <w:rFonts w:ascii="Museo Sans 300" w:hAnsi="Museo Sans 300"/>
          <w:b/>
          <w:sz w:val="22"/>
          <w:szCs w:val="22"/>
          <w:lang w:val="es-MX"/>
        </w:rPr>
        <w:t xml:space="preserve"> 2022</w:t>
      </w:r>
    </w:p>
    <w:p w14:paraId="6ECEB542" w14:textId="77777777" w:rsidR="00620488" w:rsidRPr="00CD1FD1" w:rsidRDefault="00620488" w:rsidP="004A685A">
      <w:pPr>
        <w:jc w:val="center"/>
        <w:rPr>
          <w:rFonts w:ascii="Museo Sans 300" w:hAnsi="Museo Sans 300"/>
          <w:b/>
          <w:sz w:val="22"/>
          <w:szCs w:val="22"/>
          <w:lang w:val="es-MX"/>
        </w:rPr>
      </w:pPr>
      <w:r w:rsidRPr="00CD1FD1">
        <w:rPr>
          <w:rFonts w:ascii="Museo Sans 300" w:hAnsi="Museo Sans 300"/>
          <w:b/>
          <w:sz w:val="22"/>
          <w:szCs w:val="22"/>
          <w:lang w:val="es-MX"/>
        </w:rPr>
        <w:t>(Millones $)</w:t>
      </w:r>
    </w:p>
    <w:p w14:paraId="0B0CA748" w14:textId="77777777" w:rsidR="00936D5E" w:rsidRPr="00CD1FD1" w:rsidRDefault="00936D5E" w:rsidP="004A685A">
      <w:pPr>
        <w:jc w:val="center"/>
        <w:rPr>
          <w:rFonts w:ascii="Museo Sans 300" w:hAnsi="Museo Sans 300"/>
          <w:b/>
          <w:sz w:val="22"/>
          <w:szCs w:val="22"/>
          <w:lang w:val="es-MX"/>
        </w:rPr>
      </w:pPr>
    </w:p>
    <w:p w14:paraId="7F7A23D5" w14:textId="77777777" w:rsidR="00620488" w:rsidRPr="00CD1FD1" w:rsidRDefault="00C33579" w:rsidP="004A685A">
      <w:pPr>
        <w:jc w:val="both"/>
        <w:rPr>
          <w:rFonts w:ascii="Museo Sans 300" w:hAnsi="Museo Sans 300"/>
          <w:sz w:val="22"/>
          <w:szCs w:val="22"/>
          <w:lang w:val="es-MX"/>
        </w:rPr>
      </w:pPr>
      <w:r w:rsidRPr="00C33579">
        <w:rPr>
          <w:noProof/>
        </w:rPr>
        <w:drawing>
          <wp:inline distT="0" distB="0" distL="0" distR="0" wp14:anchorId="206E99A5" wp14:editId="4E0925B5">
            <wp:extent cx="5971540" cy="44623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4462375"/>
                    </a:xfrm>
                    <a:prstGeom prst="rect">
                      <a:avLst/>
                    </a:prstGeom>
                    <a:noFill/>
                    <a:ln>
                      <a:noFill/>
                    </a:ln>
                  </pic:spPr>
                </pic:pic>
              </a:graphicData>
            </a:graphic>
          </wp:inline>
        </w:drawing>
      </w:r>
    </w:p>
    <w:p w14:paraId="0BBDA8CE" w14:textId="77777777" w:rsidR="00620488" w:rsidRPr="00CD1FD1" w:rsidRDefault="00620488" w:rsidP="004A685A">
      <w:pPr>
        <w:jc w:val="both"/>
        <w:rPr>
          <w:rFonts w:ascii="Museo Sans 300" w:hAnsi="Museo Sans 300"/>
          <w:sz w:val="22"/>
          <w:szCs w:val="22"/>
          <w:lang w:val="es-MX"/>
        </w:rPr>
      </w:pPr>
    </w:p>
    <w:p w14:paraId="06019538" w14:textId="77777777" w:rsidR="00C87D60" w:rsidRPr="00CD1FD1" w:rsidRDefault="00C87D60" w:rsidP="004A685A">
      <w:pPr>
        <w:jc w:val="both"/>
        <w:rPr>
          <w:rFonts w:ascii="Museo Sans 300" w:hAnsi="Museo Sans 300"/>
          <w:sz w:val="22"/>
          <w:szCs w:val="22"/>
          <w:lang w:val="es-MX"/>
        </w:rPr>
      </w:pPr>
    </w:p>
    <w:p w14:paraId="05C64988" w14:textId="77777777" w:rsidR="00C87D60" w:rsidRPr="00CD1FD1" w:rsidRDefault="00C87D60" w:rsidP="004A685A">
      <w:pPr>
        <w:jc w:val="both"/>
        <w:rPr>
          <w:rFonts w:ascii="Museo Sans 300" w:hAnsi="Museo Sans 300"/>
          <w:sz w:val="22"/>
          <w:szCs w:val="22"/>
          <w:lang w:val="es-MX"/>
        </w:rPr>
      </w:pPr>
    </w:p>
    <w:p w14:paraId="22FFA520" w14:textId="77777777" w:rsidR="00C87D60" w:rsidRPr="00CD1FD1" w:rsidRDefault="00C87D60" w:rsidP="004A685A">
      <w:pPr>
        <w:jc w:val="both"/>
        <w:rPr>
          <w:rFonts w:ascii="Museo Sans 300" w:hAnsi="Museo Sans 300"/>
          <w:sz w:val="22"/>
          <w:szCs w:val="22"/>
          <w:lang w:val="es-MX"/>
        </w:rPr>
      </w:pPr>
    </w:p>
    <w:p w14:paraId="446E7160" w14:textId="77777777" w:rsidR="00C87D60" w:rsidRPr="00CD1FD1" w:rsidRDefault="00C87D60" w:rsidP="004A685A">
      <w:pPr>
        <w:jc w:val="both"/>
        <w:rPr>
          <w:rFonts w:ascii="Museo Sans 300" w:hAnsi="Museo Sans 300"/>
          <w:sz w:val="22"/>
          <w:szCs w:val="22"/>
          <w:lang w:val="es-MX"/>
        </w:rPr>
      </w:pPr>
    </w:p>
    <w:p w14:paraId="5C0044EB" w14:textId="77777777" w:rsidR="00C87D60" w:rsidRPr="00CD1FD1" w:rsidRDefault="00C87D60" w:rsidP="004A685A">
      <w:pPr>
        <w:jc w:val="both"/>
        <w:rPr>
          <w:rFonts w:ascii="Museo Sans 300" w:hAnsi="Museo Sans 300"/>
          <w:sz w:val="22"/>
          <w:szCs w:val="22"/>
          <w:lang w:val="es-MX"/>
        </w:rPr>
      </w:pPr>
    </w:p>
    <w:p w14:paraId="1160CB6F" w14:textId="77777777" w:rsidR="00DC7D4F" w:rsidRPr="00CD1FD1" w:rsidRDefault="00DC7D4F" w:rsidP="004A685A">
      <w:pPr>
        <w:jc w:val="both"/>
        <w:rPr>
          <w:rFonts w:ascii="Museo Sans 300" w:hAnsi="Museo Sans 300"/>
          <w:sz w:val="22"/>
          <w:szCs w:val="22"/>
          <w:lang w:val="es-MX"/>
        </w:rPr>
      </w:pPr>
    </w:p>
    <w:p w14:paraId="49690F8E" w14:textId="77777777" w:rsidR="00351330" w:rsidRPr="00CD1FD1" w:rsidRDefault="00351330" w:rsidP="004A685A">
      <w:pPr>
        <w:jc w:val="both"/>
        <w:rPr>
          <w:rFonts w:ascii="Museo Sans 300" w:hAnsi="Museo Sans 300"/>
          <w:sz w:val="22"/>
          <w:szCs w:val="22"/>
          <w:lang w:val="es-MX"/>
        </w:rPr>
      </w:pPr>
    </w:p>
    <w:p w14:paraId="5E869732" w14:textId="77777777" w:rsidR="000B7385" w:rsidRPr="00CD1FD1" w:rsidRDefault="000B7385" w:rsidP="004A685A">
      <w:pPr>
        <w:jc w:val="both"/>
        <w:rPr>
          <w:rFonts w:ascii="Museo Sans 300" w:hAnsi="Museo Sans 300"/>
          <w:sz w:val="22"/>
          <w:szCs w:val="22"/>
          <w:lang w:val="es-MX"/>
        </w:rPr>
      </w:pPr>
    </w:p>
    <w:p w14:paraId="6C63467B" w14:textId="77777777" w:rsidR="000B7385" w:rsidRPr="00CD1FD1" w:rsidRDefault="000B7385" w:rsidP="004A685A">
      <w:pPr>
        <w:jc w:val="both"/>
        <w:rPr>
          <w:rFonts w:ascii="Museo Sans 300" w:hAnsi="Museo Sans 300"/>
          <w:sz w:val="22"/>
          <w:szCs w:val="22"/>
          <w:lang w:val="es-MX"/>
        </w:rPr>
      </w:pPr>
    </w:p>
    <w:p w14:paraId="3793DD69" w14:textId="77777777" w:rsidR="000B7385" w:rsidRPr="00CD1FD1" w:rsidRDefault="000B7385" w:rsidP="004A685A">
      <w:pPr>
        <w:jc w:val="both"/>
        <w:rPr>
          <w:rFonts w:ascii="Museo Sans 300" w:hAnsi="Museo Sans 300"/>
          <w:sz w:val="22"/>
          <w:szCs w:val="22"/>
          <w:lang w:val="es-MX"/>
        </w:rPr>
      </w:pPr>
    </w:p>
    <w:p w14:paraId="3EA1E162" w14:textId="77777777" w:rsidR="000B7385" w:rsidRDefault="000B7385" w:rsidP="004A685A">
      <w:pPr>
        <w:jc w:val="both"/>
        <w:rPr>
          <w:rFonts w:ascii="Museo Sans 300" w:hAnsi="Museo Sans 300"/>
          <w:sz w:val="22"/>
          <w:szCs w:val="22"/>
          <w:lang w:val="es-MX"/>
        </w:rPr>
      </w:pPr>
    </w:p>
    <w:p w14:paraId="63503714" w14:textId="77777777" w:rsidR="004552A7" w:rsidRDefault="004552A7" w:rsidP="004A685A">
      <w:pPr>
        <w:jc w:val="both"/>
        <w:rPr>
          <w:rFonts w:ascii="Museo Sans 300" w:hAnsi="Museo Sans 300"/>
          <w:sz w:val="22"/>
          <w:szCs w:val="22"/>
          <w:lang w:val="es-MX"/>
        </w:rPr>
      </w:pPr>
    </w:p>
    <w:p w14:paraId="175DE93D" w14:textId="77777777" w:rsidR="004552A7" w:rsidRDefault="004552A7" w:rsidP="004A685A">
      <w:pPr>
        <w:jc w:val="both"/>
        <w:rPr>
          <w:rFonts w:ascii="Museo Sans 300" w:hAnsi="Museo Sans 300"/>
          <w:sz w:val="22"/>
          <w:szCs w:val="22"/>
          <w:lang w:val="es-MX"/>
        </w:rPr>
      </w:pPr>
    </w:p>
    <w:p w14:paraId="08C97D04" w14:textId="77777777" w:rsidR="004552A7" w:rsidRDefault="004552A7" w:rsidP="004A685A">
      <w:pPr>
        <w:jc w:val="both"/>
        <w:rPr>
          <w:rFonts w:ascii="Museo Sans 300" w:hAnsi="Museo Sans 300"/>
          <w:sz w:val="22"/>
          <w:szCs w:val="22"/>
          <w:lang w:val="es-MX"/>
        </w:rPr>
      </w:pPr>
    </w:p>
    <w:p w14:paraId="34CDAA3E" w14:textId="77777777" w:rsidR="004552A7" w:rsidRPr="00CD1FD1" w:rsidRDefault="004552A7" w:rsidP="004A685A">
      <w:pPr>
        <w:jc w:val="both"/>
        <w:rPr>
          <w:rFonts w:ascii="Museo Sans 300" w:hAnsi="Museo Sans 300"/>
          <w:sz w:val="22"/>
          <w:szCs w:val="22"/>
          <w:lang w:val="es-MX"/>
        </w:rPr>
      </w:pPr>
    </w:p>
    <w:p w14:paraId="5108D14F" w14:textId="77777777" w:rsidR="000B7385" w:rsidRPr="00CD1FD1" w:rsidRDefault="000B7385" w:rsidP="004A685A">
      <w:pPr>
        <w:jc w:val="both"/>
        <w:rPr>
          <w:rFonts w:ascii="Museo Sans 300" w:hAnsi="Museo Sans 300"/>
          <w:sz w:val="22"/>
          <w:szCs w:val="22"/>
          <w:lang w:val="es-MX"/>
        </w:rPr>
      </w:pPr>
    </w:p>
    <w:p w14:paraId="5A5293CC" w14:textId="77777777" w:rsidR="002207BF" w:rsidRPr="00CD1FD1" w:rsidRDefault="002207BF" w:rsidP="004A685A">
      <w:pPr>
        <w:jc w:val="both"/>
        <w:rPr>
          <w:rFonts w:ascii="Museo Sans 300" w:hAnsi="Museo Sans 300"/>
          <w:sz w:val="22"/>
          <w:szCs w:val="22"/>
          <w:lang w:val="es-MX"/>
        </w:rPr>
      </w:pPr>
    </w:p>
    <w:p w14:paraId="2CFCD99E" w14:textId="77777777" w:rsidR="002207BF" w:rsidRPr="00CD1FD1" w:rsidRDefault="002207BF" w:rsidP="004A685A">
      <w:pPr>
        <w:jc w:val="both"/>
        <w:rPr>
          <w:rFonts w:ascii="Museo Sans 300" w:hAnsi="Museo Sans 300"/>
          <w:sz w:val="22"/>
          <w:szCs w:val="22"/>
          <w:lang w:val="es-MX"/>
        </w:rPr>
      </w:pPr>
    </w:p>
    <w:p w14:paraId="7B355A70" w14:textId="77777777" w:rsidR="000B7385" w:rsidRPr="00CD1FD1" w:rsidRDefault="000B7385" w:rsidP="004A685A">
      <w:pPr>
        <w:jc w:val="both"/>
        <w:rPr>
          <w:rFonts w:ascii="Museo Sans 300" w:hAnsi="Museo Sans 300"/>
          <w:sz w:val="22"/>
          <w:szCs w:val="22"/>
          <w:lang w:val="es-MX"/>
        </w:rPr>
      </w:pPr>
    </w:p>
    <w:p w14:paraId="48DB64F0" w14:textId="77777777" w:rsidR="00C87D60" w:rsidRPr="00CD1FD1" w:rsidRDefault="00C87D60" w:rsidP="00EC7984">
      <w:pPr>
        <w:jc w:val="center"/>
        <w:rPr>
          <w:rFonts w:ascii="Museo Sans 300" w:hAnsi="Museo Sans 300"/>
          <w:b/>
          <w:sz w:val="22"/>
          <w:szCs w:val="22"/>
          <w:lang w:val="es-MX"/>
        </w:rPr>
      </w:pPr>
      <w:r w:rsidRPr="00CD1FD1">
        <w:rPr>
          <w:rFonts w:ascii="Museo Sans 300" w:hAnsi="Museo Sans 300"/>
          <w:b/>
          <w:sz w:val="22"/>
          <w:szCs w:val="22"/>
          <w:lang w:val="es-MX"/>
        </w:rPr>
        <w:lastRenderedPageBreak/>
        <w:t xml:space="preserve">Anexo 4: Ejecución de la Inversión Pública del SPNF </w:t>
      </w:r>
      <w:r w:rsidR="006A326C" w:rsidRPr="00CD1FD1">
        <w:rPr>
          <w:rFonts w:ascii="Museo Sans 300" w:hAnsi="Museo Sans 300"/>
          <w:b/>
          <w:sz w:val="22"/>
          <w:szCs w:val="22"/>
          <w:lang w:val="es-MX"/>
        </w:rPr>
        <w:t xml:space="preserve">a </w:t>
      </w:r>
      <w:r w:rsidR="00C722FC">
        <w:rPr>
          <w:rFonts w:ascii="Museo Sans 300" w:hAnsi="Museo Sans 300"/>
          <w:b/>
          <w:sz w:val="22"/>
          <w:szCs w:val="22"/>
          <w:lang w:val="es-MX"/>
        </w:rPr>
        <w:t>junio</w:t>
      </w:r>
      <w:r w:rsidR="006A326C" w:rsidRPr="00CD1FD1">
        <w:rPr>
          <w:rFonts w:ascii="Museo Sans 300" w:hAnsi="Museo Sans 300"/>
          <w:b/>
          <w:sz w:val="22"/>
          <w:szCs w:val="22"/>
          <w:lang w:val="es-MX"/>
        </w:rPr>
        <w:t xml:space="preserve"> de 2022</w:t>
      </w:r>
    </w:p>
    <w:p w14:paraId="23BC148B" w14:textId="77777777" w:rsidR="003B6415" w:rsidRDefault="003B6415" w:rsidP="003B6415">
      <w:pPr>
        <w:jc w:val="center"/>
        <w:rPr>
          <w:rFonts w:ascii="Museo Sans 300" w:hAnsi="Museo Sans 300"/>
          <w:b/>
          <w:sz w:val="22"/>
          <w:szCs w:val="22"/>
          <w:lang w:val="es-MX"/>
        </w:rPr>
      </w:pPr>
      <w:r w:rsidRPr="00CD1FD1">
        <w:rPr>
          <w:rFonts w:ascii="Museo Sans 300" w:hAnsi="Museo Sans 300"/>
          <w:b/>
          <w:sz w:val="22"/>
          <w:szCs w:val="22"/>
          <w:lang w:val="es-MX"/>
        </w:rPr>
        <w:t>(En millones de US$)</w:t>
      </w:r>
    </w:p>
    <w:p w14:paraId="016CEBAC" w14:textId="77777777" w:rsidR="00593A7A" w:rsidRPr="00F02ABE" w:rsidRDefault="00593A7A" w:rsidP="003B6415">
      <w:pPr>
        <w:jc w:val="center"/>
        <w:rPr>
          <w:rFonts w:ascii="Museo Sans 300" w:hAnsi="Museo Sans 300"/>
          <w:b/>
          <w:sz w:val="16"/>
          <w:szCs w:val="16"/>
          <w:lang w:val="es-MX"/>
        </w:rPr>
      </w:pPr>
    </w:p>
    <w:p w14:paraId="4A99CA6C" w14:textId="77777777" w:rsidR="00936D5E" w:rsidRPr="00CD1FD1" w:rsidRDefault="00130C04" w:rsidP="003B6415">
      <w:pPr>
        <w:jc w:val="center"/>
        <w:rPr>
          <w:rFonts w:ascii="Museo Sans 300" w:hAnsi="Museo Sans 300"/>
          <w:b/>
          <w:sz w:val="22"/>
          <w:szCs w:val="22"/>
          <w:lang w:val="es-MX"/>
        </w:rPr>
      </w:pPr>
      <w:r w:rsidRPr="00130C04">
        <w:rPr>
          <w:noProof/>
        </w:rPr>
        <w:drawing>
          <wp:inline distT="0" distB="0" distL="0" distR="0" wp14:anchorId="4FF877A1" wp14:editId="0A124464">
            <wp:extent cx="5030974" cy="72401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5372" cy="7246468"/>
                    </a:xfrm>
                    <a:prstGeom prst="rect">
                      <a:avLst/>
                    </a:prstGeom>
                    <a:noFill/>
                    <a:ln>
                      <a:noFill/>
                    </a:ln>
                  </pic:spPr>
                </pic:pic>
              </a:graphicData>
            </a:graphic>
          </wp:inline>
        </w:drawing>
      </w:r>
      <w:bookmarkEnd w:id="5"/>
      <w:bookmarkEnd w:id="47"/>
    </w:p>
    <w:sectPr w:rsidR="00936D5E" w:rsidRPr="00CD1FD1" w:rsidSect="00D703ED">
      <w:footerReference w:type="default" r:id="rId27"/>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B7A6" w14:textId="77777777" w:rsidR="00BB70AB" w:rsidRDefault="00BB70AB" w:rsidP="00610721">
      <w:r>
        <w:separator/>
      </w:r>
    </w:p>
  </w:endnote>
  <w:endnote w:type="continuationSeparator" w:id="0">
    <w:p w14:paraId="027819A6" w14:textId="77777777" w:rsidR="00BB70AB" w:rsidRDefault="00BB70AB"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4A90" w14:textId="77777777" w:rsidR="000A43ED" w:rsidRDefault="000A43ED">
    <w:pPr>
      <w:pStyle w:val="Piedepgina"/>
      <w:jc w:val="center"/>
    </w:pPr>
    <w:r>
      <w:fldChar w:fldCharType="begin"/>
    </w:r>
    <w:r>
      <w:instrText>PAGE   \* MERGEFORMAT</w:instrText>
    </w:r>
    <w:r>
      <w:fldChar w:fldCharType="separate"/>
    </w:r>
    <w:r w:rsidRPr="00CD0120">
      <w:rPr>
        <w:noProof/>
        <w:lang w:val="es-ES"/>
      </w:rPr>
      <w:t>26</w:t>
    </w:r>
    <w:r>
      <w:fldChar w:fldCharType="end"/>
    </w:r>
  </w:p>
  <w:p w14:paraId="5A0A225E" w14:textId="77777777" w:rsidR="000A43ED" w:rsidRDefault="000A43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1B65" w14:textId="77777777" w:rsidR="00BB70AB" w:rsidRDefault="00BB70AB" w:rsidP="00610721">
      <w:r>
        <w:separator/>
      </w:r>
    </w:p>
  </w:footnote>
  <w:footnote w:type="continuationSeparator" w:id="0">
    <w:p w14:paraId="229344F6" w14:textId="77777777" w:rsidR="00BB70AB" w:rsidRDefault="00BB70AB" w:rsidP="00610721">
      <w:r>
        <w:continuationSeparator/>
      </w:r>
    </w:p>
  </w:footnote>
  <w:footnote w:id="1">
    <w:p w14:paraId="2C00D879" w14:textId="77777777" w:rsidR="005B3920" w:rsidRPr="00C7623F" w:rsidRDefault="005B3920" w:rsidP="005B3920">
      <w:pPr>
        <w:pStyle w:val="Textonotapie"/>
        <w:rPr>
          <w:lang w:val="es-SV"/>
        </w:rPr>
      </w:pPr>
      <w:r>
        <w:rPr>
          <w:rStyle w:val="Refdenotaalpie"/>
        </w:rPr>
        <w:footnoteRef/>
      </w:r>
      <w:r>
        <w:t xml:space="preserve"> </w:t>
      </w:r>
      <w:r w:rsidRPr="00C7623F">
        <w:rPr>
          <w:rFonts w:ascii="Candara" w:hAnsi="Candara"/>
          <w:i/>
        </w:rPr>
        <w:t>excluye el pago de intereses de la deuda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34B"/>
    <w:rsid w:val="00002A15"/>
    <w:rsid w:val="00003DBE"/>
    <w:rsid w:val="00003E71"/>
    <w:rsid w:val="000044A6"/>
    <w:rsid w:val="00004AC1"/>
    <w:rsid w:val="00005394"/>
    <w:rsid w:val="00005DE7"/>
    <w:rsid w:val="000060C4"/>
    <w:rsid w:val="0000636C"/>
    <w:rsid w:val="0000767E"/>
    <w:rsid w:val="00007F40"/>
    <w:rsid w:val="000107EC"/>
    <w:rsid w:val="000125BF"/>
    <w:rsid w:val="000129CE"/>
    <w:rsid w:val="00013FBA"/>
    <w:rsid w:val="00014440"/>
    <w:rsid w:val="00014666"/>
    <w:rsid w:val="0001700F"/>
    <w:rsid w:val="00024EB8"/>
    <w:rsid w:val="0002562B"/>
    <w:rsid w:val="00026278"/>
    <w:rsid w:val="0003199D"/>
    <w:rsid w:val="00032F0C"/>
    <w:rsid w:val="00033BDB"/>
    <w:rsid w:val="000350BD"/>
    <w:rsid w:val="00035936"/>
    <w:rsid w:val="000368FE"/>
    <w:rsid w:val="00036A8F"/>
    <w:rsid w:val="00036C58"/>
    <w:rsid w:val="00036F93"/>
    <w:rsid w:val="00042C94"/>
    <w:rsid w:val="00045C77"/>
    <w:rsid w:val="00046DCB"/>
    <w:rsid w:val="00046F1C"/>
    <w:rsid w:val="00047EAE"/>
    <w:rsid w:val="000504B7"/>
    <w:rsid w:val="00050721"/>
    <w:rsid w:val="00051CE0"/>
    <w:rsid w:val="00051DD1"/>
    <w:rsid w:val="00055088"/>
    <w:rsid w:val="00055C6D"/>
    <w:rsid w:val="000563D5"/>
    <w:rsid w:val="0005706F"/>
    <w:rsid w:val="00057E16"/>
    <w:rsid w:val="0006008B"/>
    <w:rsid w:val="0006124F"/>
    <w:rsid w:val="00063635"/>
    <w:rsid w:val="000655D5"/>
    <w:rsid w:val="00065616"/>
    <w:rsid w:val="00067A82"/>
    <w:rsid w:val="0007071E"/>
    <w:rsid w:val="00071875"/>
    <w:rsid w:val="00072BB0"/>
    <w:rsid w:val="0007316A"/>
    <w:rsid w:val="000737F7"/>
    <w:rsid w:val="00073DF6"/>
    <w:rsid w:val="00073ED0"/>
    <w:rsid w:val="00074856"/>
    <w:rsid w:val="000766A1"/>
    <w:rsid w:val="00077245"/>
    <w:rsid w:val="0007724F"/>
    <w:rsid w:val="00077425"/>
    <w:rsid w:val="00080493"/>
    <w:rsid w:val="0008095D"/>
    <w:rsid w:val="00080BF7"/>
    <w:rsid w:val="00081874"/>
    <w:rsid w:val="000827C3"/>
    <w:rsid w:val="00083368"/>
    <w:rsid w:val="000850BF"/>
    <w:rsid w:val="00085376"/>
    <w:rsid w:val="00085CF5"/>
    <w:rsid w:val="00090A01"/>
    <w:rsid w:val="00091CEA"/>
    <w:rsid w:val="00091E47"/>
    <w:rsid w:val="00092055"/>
    <w:rsid w:val="00092B07"/>
    <w:rsid w:val="000932FA"/>
    <w:rsid w:val="000933AC"/>
    <w:rsid w:val="000938EC"/>
    <w:rsid w:val="000947A2"/>
    <w:rsid w:val="00095A8C"/>
    <w:rsid w:val="000962EE"/>
    <w:rsid w:val="000A0064"/>
    <w:rsid w:val="000A05C1"/>
    <w:rsid w:val="000A099C"/>
    <w:rsid w:val="000A1ECC"/>
    <w:rsid w:val="000A36F3"/>
    <w:rsid w:val="000A43ED"/>
    <w:rsid w:val="000A4F43"/>
    <w:rsid w:val="000A6355"/>
    <w:rsid w:val="000A6A22"/>
    <w:rsid w:val="000B0C19"/>
    <w:rsid w:val="000B0EA6"/>
    <w:rsid w:val="000B1B60"/>
    <w:rsid w:val="000B28C1"/>
    <w:rsid w:val="000B2D4F"/>
    <w:rsid w:val="000B31AE"/>
    <w:rsid w:val="000B32B3"/>
    <w:rsid w:val="000B427B"/>
    <w:rsid w:val="000B42D8"/>
    <w:rsid w:val="000B4C23"/>
    <w:rsid w:val="000B5129"/>
    <w:rsid w:val="000B601E"/>
    <w:rsid w:val="000B6214"/>
    <w:rsid w:val="000B7219"/>
    <w:rsid w:val="000B7385"/>
    <w:rsid w:val="000B748E"/>
    <w:rsid w:val="000B7871"/>
    <w:rsid w:val="000C0647"/>
    <w:rsid w:val="000C08C9"/>
    <w:rsid w:val="000C0E74"/>
    <w:rsid w:val="000C2D4E"/>
    <w:rsid w:val="000C47AE"/>
    <w:rsid w:val="000C6FC2"/>
    <w:rsid w:val="000C7415"/>
    <w:rsid w:val="000C7ECF"/>
    <w:rsid w:val="000D0149"/>
    <w:rsid w:val="000D0EF9"/>
    <w:rsid w:val="000D207D"/>
    <w:rsid w:val="000D2121"/>
    <w:rsid w:val="000D3EF4"/>
    <w:rsid w:val="000D3F00"/>
    <w:rsid w:val="000D45B5"/>
    <w:rsid w:val="000D576E"/>
    <w:rsid w:val="000D61F4"/>
    <w:rsid w:val="000D7396"/>
    <w:rsid w:val="000E0CCD"/>
    <w:rsid w:val="000E3D52"/>
    <w:rsid w:val="000E40ED"/>
    <w:rsid w:val="000E7DEC"/>
    <w:rsid w:val="000F2598"/>
    <w:rsid w:val="000F3F1D"/>
    <w:rsid w:val="000F5152"/>
    <w:rsid w:val="000F6407"/>
    <w:rsid w:val="000F7482"/>
    <w:rsid w:val="000F7857"/>
    <w:rsid w:val="00101DFA"/>
    <w:rsid w:val="00103F6B"/>
    <w:rsid w:val="00105ABD"/>
    <w:rsid w:val="00105D78"/>
    <w:rsid w:val="00106534"/>
    <w:rsid w:val="00110940"/>
    <w:rsid w:val="0011125B"/>
    <w:rsid w:val="00120199"/>
    <w:rsid w:val="00120C00"/>
    <w:rsid w:val="00121393"/>
    <w:rsid w:val="00121B44"/>
    <w:rsid w:val="001228A5"/>
    <w:rsid w:val="00123067"/>
    <w:rsid w:val="0012502A"/>
    <w:rsid w:val="00125881"/>
    <w:rsid w:val="0012602E"/>
    <w:rsid w:val="0012688D"/>
    <w:rsid w:val="00130C04"/>
    <w:rsid w:val="00133419"/>
    <w:rsid w:val="00134372"/>
    <w:rsid w:val="0013549A"/>
    <w:rsid w:val="00135E70"/>
    <w:rsid w:val="00135EAC"/>
    <w:rsid w:val="00135FB8"/>
    <w:rsid w:val="001366A0"/>
    <w:rsid w:val="00136F4C"/>
    <w:rsid w:val="00137776"/>
    <w:rsid w:val="00137B38"/>
    <w:rsid w:val="0014194D"/>
    <w:rsid w:val="0014197A"/>
    <w:rsid w:val="00142BDD"/>
    <w:rsid w:val="00143C05"/>
    <w:rsid w:val="00145091"/>
    <w:rsid w:val="00146B37"/>
    <w:rsid w:val="00150E30"/>
    <w:rsid w:val="00151522"/>
    <w:rsid w:val="00151722"/>
    <w:rsid w:val="001521BC"/>
    <w:rsid w:val="00152F95"/>
    <w:rsid w:val="00153163"/>
    <w:rsid w:val="001536B2"/>
    <w:rsid w:val="0015449B"/>
    <w:rsid w:val="00154F8E"/>
    <w:rsid w:val="001553A6"/>
    <w:rsid w:val="001564E8"/>
    <w:rsid w:val="00160CCF"/>
    <w:rsid w:val="00163FA1"/>
    <w:rsid w:val="00164E11"/>
    <w:rsid w:val="0016536C"/>
    <w:rsid w:val="00165910"/>
    <w:rsid w:val="00167CCD"/>
    <w:rsid w:val="00167F36"/>
    <w:rsid w:val="00170628"/>
    <w:rsid w:val="00170BAE"/>
    <w:rsid w:val="00173880"/>
    <w:rsid w:val="00173EC7"/>
    <w:rsid w:val="00174C2A"/>
    <w:rsid w:val="001753A7"/>
    <w:rsid w:val="00176150"/>
    <w:rsid w:val="00176184"/>
    <w:rsid w:val="00177F94"/>
    <w:rsid w:val="00177FFE"/>
    <w:rsid w:val="00180154"/>
    <w:rsid w:val="00180642"/>
    <w:rsid w:val="0018146E"/>
    <w:rsid w:val="00182A89"/>
    <w:rsid w:val="00184DB4"/>
    <w:rsid w:val="001876A8"/>
    <w:rsid w:val="001902A4"/>
    <w:rsid w:val="001909E4"/>
    <w:rsid w:val="00190B09"/>
    <w:rsid w:val="00190F50"/>
    <w:rsid w:val="001910E2"/>
    <w:rsid w:val="00191565"/>
    <w:rsid w:val="00193C94"/>
    <w:rsid w:val="001942CF"/>
    <w:rsid w:val="001942E2"/>
    <w:rsid w:val="00194BB2"/>
    <w:rsid w:val="00194D12"/>
    <w:rsid w:val="00194FEF"/>
    <w:rsid w:val="001965FB"/>
    <w:rsid w:val="001968FE"/>
    <w:rsid w:val="0019773D"/>
    <w:rsid w:val="00197782"/>
    <w:rsid w:val="001A0A78"/>
    <w:rsid w:val="001A2FDC"/>
    <w:rsid w:val="001A37E6"/>
    <w:rsid w:val="001A49A6"/>
    <w:rsid w:val="001A4F17"/>
    <w:rsid w:val="001A5F4B"/>
    <w:rsid w:val="001A6388"/>
    <w:rsid w:val="001A7412"/>
    <w:rsid w:val="001B0E38"/>
    <w:rsid w:val="001B1625"/>
    <w:rsid w:val="001B1836"/>
    <w:rsid w:val="001B3135"/>
    <w:rsid w:val="001B3951"/>
    <w:rsid w:val="001B3A46"/>
    <w:rsid w:val="001B4677"/>
    <w:rsid w:val="001B4A0A"/>
    <w:rsid w:val="001B4B16"/>
    <w:rsid w:val="001B5B81"/>
    <w:rsid w:val="001B73D1"/>
    <w:rsid w:val="001B7B61"/>
    <w:rsid w:val="001C00F7"/>
    <w:rsid w:val="001C0639"/>
    <w:rsid w:val="001C3356"/>
    <w:rsid w:val="001C3602"/>
    <w:rsid w:val="001C450E"/>
    <w:rsid w:val="001C4836"/>
    <w:rsid w:val="001C5CA7"/>
    <w:rsid w:val="001C7095"/>
    <w:rsid w:val="001C7F84"/>
    <w:rsid w:val="001D0021"/>
    <w:rsid w:val="001D0083"/>
    <w:rsid w:val="001D0BF2"/>
    <w:rsid w:val="001D135A"/>
    <w:rsid w:val="001D261B"/>
    <w:rsid w:val="001D3263"/>
    <w:rsid w:val="001D7D68"/>
    <w:rsid w:val="001E11BF"/>
    <w:rsid w:val="001E160B"/>
    <w:rsid w:val="001E1C63"/>
    <w:rsid w:val="001E1FEB"/>
    <w:rsid w:val="001E30F7"/>
    <w:rsid w:val="001E4553"/>
    <w:rsid w:val="001E765F"/>
    <w:rsid w:val="001F21F6"/>
    <w:rsid w:val="001F3310"/>
    <w:rsid w:val="001F3912"/>
    <w:rsid w:val="001F50C9"/>
    <w:rsid w:val="001F6DC0"/>
    <w:rsid w:val="00200744"/>
    <w:rsid w:val="00201628"/>
    <w:rsid w:val="00203AF4"/>
    <w:rsid w:val="002053D6"/>
    <w:rsid w:val="002056DE"/>
    <w:rsid w:val="00206A51"/>
    <w:rsid w:val="00206D87"/>
    <w:rsid w:val="00212C48"/>
    <w:rsid w:val="00212E93"/>
    <w:rsid w:val="002132B3"/>
    <w:rsid w:val="002144EA"/>
    <w:rsid w:val="00214645"/>
    <w:rsid w:val="00216005"/>
    <w:rsid w:val="00216368"/>
    <w:rsid w:val="00217169"/>
    <w:rsid w:val="002204C7"/>
    <w:rsid w:val="00220653"/>
    <w:rsid w:val="002207BF"/>
    <w:rsid w:val="002225DF"/>
    <w:rsid w:val="0022571A"/>
    <w:rsid w:val="0022689B"/>
    <w:rsid w:val="00226B11"/>
    <w:rsid w:val="00226DE2"/>
    <w:rsid w:val="00227E46"/>
    <w:rsid w:val="002311FD"/>
    <w:rsid w:val="00231A48"/>
    <w:rsid w:val="00231F0C"/>
    <w:rsid w:val="00233051"/>
    <w:rsid w:val="002332A9"/>
    <w:rsid w:val="00234570"/>
    <w:rsid w:val="00235C31"/>
    <w:rsid w:val="00235F12"/>
    <w:rsid w:val="002407F1"/>
    <w:rsid w:val="00241A25"/>
    <w:rsid w:val="00242E64"/>
    <w:rsid w:val="002441FD"/>
    <w:rsid w:val="00244359"/>
    <w:rsid w:val="002464BF"/>
    <w:rsid w:val="00251374"/>
    <w:rsid w:val="00251547"/>
    <w:rsid w:val="002520D9"/>
    <w:rsid w:val="00256608"/>
    <w:rsid w:val="0026097D"/>
    <w:rsid w:val="00262E33"/>
    <w:rsid w:val="00262F33"/>
    <w:rsid w:val="0026607B"/>
    <w:rsid w:val="002679B5"/>
    <w:rsid w:val="00267DFC"/>
    <w:rsid w:val="00270CC7"/>
    <w:rsid w:val="00272A8F"/>
    <w:rsid w:val="00276377"/>
    <w:rsid w:val="002766D8"/>
    <w:rsid w:val="00280D3C"/>
    <w:rsid w:val="0028261B"/>
    <w:rsid w:val="00282977"/>
    <w:rsid w:val="00283D97"/>
    <w:rsid w:val="00284EF3"/>
    <w:rsid w:val="00285FD5"/>
    <w:rsid w:val="00286327"/>
    <w:rsid w:val="0028723E"/>
    <w:rsid w:val="002874F2"/>
    <w:rsid w:val="00287807"/>
    <w:rsid w:val="00290D10"/>
    <w:rsid w:val="00291B03"/>
    <w:rsid w:val="00292299"/>
    <w:rsid w:val="002928EA"/>
    <w:rsid w:val="00292F86"/>
    <w:rsid w:val="002A0027"/>
    <w:rsid w:val="002A0964"/>
    <w:rsid w:val="002A147C"/>
    <w:rsid w:val="002A14D2"/>
    <w:rsid w:val="002A264C"/>
    <w:rsid w:val="002A2E39"/>
    <w:rsid w:val="002A37DF"/>
    <w:rsid w:val="002A48AD"/>
    <w:rsid w:val="002A59F7"/>
    <w:rsid w:val="002A7A67"/>
    <w:rsid w:val="002B07DA"/>
    <w:rsid w:val="002B0B6C"/>
    <w:rsid w:val="002B2116"/>
    <w:rsid w:val="002B214B"/>
    <w:rsid w:val="002B2D0E"/>
    <w:rsid w:val="002B3D07"/>
    <w:rsid w:val="002B4222"/>
    <w:rsid w:val="002B45FB"/>
    <w:rsid w:val="002B48D7"/>
    <w:rsid w:val="002B696D"/>
    <w:rsid w:val="002B76EB"/>
    <w:rsid w:val="002C22E7"/>
    <w:rsid w:val="002C3B4A"/>
    <w:rsid w:val="002C3C06"/>
    <w:rsid w:val="002C5629"/>
    <w:rsid w:val="002C5F4D"/>
    <w:rsid w:val="002C6F24"/>
    <w:rsid w:val="002C79A8"/>
    <w:rsid w:val="002D01D4"/>
    <w:rsid w:val="002D0CAC"/>
    <w:rsid w:val="002D2C69"/>
    <w:rsid w:val="002D2D0A"/>
    <w:rsid w:val="002D4F30"/>
    <w:rsid w:val="002D5BD4"/>
    <w:rsid w:val="002E1B9C"/>
    <w:rsid w:val="002E1F4E"/>
    <w:rsid w:val="002E2F08"/>
    <w:rsid w:val="002E5A52"/>
    <w:rsid w:val="002E5DE2"/>
    <w:rsid w:val="002F0601"/>
    <w:rsid w:val="002F0FC6"/>
    <w:rsid w:val="002F1C96"/>
    <w:rsid w:val="002F24E8"/>
    <w:rsid w:val="002F28DF"/>
    <w:rsid w:val="002F3838"/>
    <w:rsid w:val="002F3FB5"/>
    <w:rsid w:val="002F44DD"/>
    <w:rsid w:val="002F7EAB"/>
    <w:rsid w:val="003007E1"/>
    <w:rsid w:val="00302300"/>
    <w:rsid w:val="0030305A"/>
    <w:rsid w:val="0030584A"/>
    <w:rsid w:val="00307EF7"/>
    <w:rsid w:val="0031164C"/>
    <w:rsid w:val="00312079"/>
    <w:rsid w:val="0031413C"/>
    <w:rsid w:val="0031449E"/>
    <w:rsid w:val="00314E3D"/>
    <w:rsid w:val="003155C6"/>
    <w:rsid w:val="0031628B"/>
    <w:rsid w:val="00316C4E"/>
    <w:rsid w:val="003200B1"/>
    <w:rsid w:val="00322975"/>
    <w:rsid w:val="00324C0A"/>
    <w:rsid w:val="003259AA"/>
    <w:rsid w:val="00325B93"/>
    <w:rsid w:val="00326061"/>
    <w:rsid w:val="00326C65"/>
    <w:rsid w:val="00326D1E"/>
    <w:rsid w:val="00327718"/>
    <w:rsid w:val="00327D59"/>
    <w:rsid w:val="00331CF9"/>
    <w:rsid w:val="003325EA"/>
    <w:rsid w:val="00333D48"/>
    <w:rsid w:val="0033442F"/>
    <w:rsid w:val="00334A38"/>
    <w:rsid w:val="00334CA7"/>
    <w:rsid w:val="0033678D"/>
    <w:rsid w:val="00340B9B"/>
    <w:rsid w:val="00340E6B"/>
    <w:rsid w:val="0034191D"/>
    <w:rsid w:val="0034231B"/>
    <w:rsid w:val="0034320E"/>
    <w:rsid w:val="00343303"/>
    <w:rsid w:val="00343ED4"/>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232F"/>
    <w:rsid w:val="0035322E"/>
    <w:rsid w:val="00353EE6"/>
    <w:rsid w:val="00353F79"/>
    <w:rsid w:val="0035404D"/>
    <w:rsid w:val="00354A15"/>
    <w:rsid w:val="00355BF7"/>
    <w:rsid w:val="00355D4B"/>
    <w:rsid w:val="00355FBB"/>
    <w:rsid w:val="003562F7"/>
    <w:rsid w:val="00361220"/>
    <w:rsid w:val="00365457"/>
    <w:rsid w:val="00371731"/>
    <w:rsid w:val="00371E6D"/>
    <w:rsid w:val="00373397"/>
    <w:rsid w:val="00373CBD"/>
    <w:rsid w:val="0037505A"/>
    <w:rsid w:val="00377659"/>
    <w:rsid w:val="00380002"/>
    <w:rsid w:val="00382BE0"/>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6314"/>
    <w:rsid w:val="00397B23"/>
    <w:rsid w:val="003A0898"/>
    <w:rsid w:val="003A5508"/>
    <w:rsid w:val="003A60C7"/>
    <w:rsid w:val="003A6A53"/>
    <w:rsid w:val="003B0815"/>
    <w:rsid w:val="003B0D47"/>
    <w:rsid w:val="003B2BE7"/>
    <w:rsid w:val="003B305D"/>
    <w:rsid w:val="003B4A01"/>
    <w:rsid w:val="003B5F59"/>
    <w:rsid w:val="003B6035"/>
    <w:rsid w:val="003B6415"/>
    <w:rsid w:val="003B6B25"/>
    <w:rsid w:val="003B6B58"/>
    <w:rsid w:val="003B736D"/>
    <w:rsid w:val="003C2B1E"/>
    <w:rsid w:val="003C33B3"/>
    <w:rsid w:val="003C3DC4"/>
    <w:rsid w:val="003C4732"/>
    <w:rsid w:val="003C618A"/>
    <w:rsid w:val="003C71A7"/>
    <w:rsid w:val="003C7532"/>
    <w:rsid w:val="003D01C6"/>
    <w:rsid w:val="003D0AED"/>
    <w:rsid w:val="003D10A0"/>
    <w:rsid w:val="003D15B7"/>
    <w:rsid w:val="003D1FC5"/>
    <w:rsid w:val="003D20F4"/>
    <w:rsid w:val="003D4107"/>
    <w:rsid w:val="003D46A2"/>
    <w:rsid w:val="003D4C8A"/>
    <w:rsid w:val="003D5D95"/>
    <w:rsid w:val="003D7390"/>
    <w:rsid w:val="003E0088"/>
    <w:rsid w:val="003E28F3"/>
    <w:rsid w:val="003E705F"/>
    <w:rsid w:val="003E7E20"/>
    <w:rsid w:val="003E7EAD"/>
    <w:rsid w:val="003F0AF7"/>
    <w:rsid w:val="003F0B3F"/>
    <w:rsid w:val="003F173C"/>
    <w:rsid w:val="003F234D"/>
    <w:rsid w:val="003F3081"/>
    <w:rsid w:val="003F333F"/>
    <w:rsid w:val="003F6998"/>
    <w:rsid w:val="003F74EF"/>
    <w:rsid w:val="00401098"/>
    <w:rsid w:val="004023E2"/>
    <w:rsid w:val="00404593"/>
    <w:rsid w:val="00404784"/>
    <w:rsid w:val="00404C90"/>
    <w:rsid w:val="00404D93"/>
    <w:rsid w:val="004066E9"/>
    <w:rsid w:val="00406B50"/>
    <w:rsid w:val="004112CF"/>
    <w:rsid w:val="00411F3D"/>
    <w:rsid w:val="0041229D"/>
    <w:rsid w:val="00412B47"/>
    <w:rsid w:val="004132CF"/>
    <w:rsid w:val="00414FA5"/>
    <w:rsid w:val="0041595F"/>
    <w:rsid w:val="0041785E"/>
    <w:rsid w:val="00420EE2"/>
    <w:rsid w:val="00423C68"/>
    <w:rsid w:val="004249A7"/>
    <w:rsid w:val="00424F80"/>
    <w:rsid w:val="00425283"/>
    <w:rsid w:val="004257AD"/>
    <w:rsid w:val="0042754D"/>
    <w:rsid w:val="00427FFA"/>
    <w:rsid w:val="00432D04"/>
    <w:rsid w:val="00432D7C"/>
    <w:rsid w:val="0043717D"/>
    <w:rsid w:val="00437E77"/>
    <w:rsid w:val="00440767"/>
    <w:rsid w:val="00440C09"/>
    <w:rsid w:val="004423E5"/>
    <w:rsid w:val="00442690"/>
    <w:rsid w:val="00442DE5"/>
    <w:rsid w:val="0044329E"/>
    <w:rsid w:val="0044457B"/>
    <w:rsid w:val="00444832"/>
    <w:rsid w:val="00444A54"/>
    <w:rsid w:val="004464E8"/>
    <w:rsid w:val="00447311"/>
    <w:rsid w:val="00447AE4"/>
    <w:rsid w:val="00447D6A"/>
    <w:rsid w:val="004500A9"/>
    <w:rsid w:val="004552A7"/>
    <w:rsid w:val="00455BDD"/>
    <w:rsid w:val="00456CE0"/>
    <w:rsid w:val="004605D3"/>
    <w:rsid w:val="00461174"/>
    <w:rsid w:val="00463142"/>
    <w:rsid w:val="00464D50"/>
    <w:rsid w:val="004656B1"/>
    <w:rsid w:val="00467ADA"/>
    <w:rsid w:val="00470545"/>
    <w:rsid w:val="00470918"/>
    <w:rsid w:val="00471761"/>
    <w:rsid w:val="00472EA3"/>
    <w:rsid w:val="0047332F"/>
    <w:rsid w:val="004747AC"/>
    <w:rsid w:val="00476577"/>
    <w:rsid w:val="00476585"/>
    <w:rsid w:val="00477396"/>
    <w:rsid w:val="00477B44"/>
    <w:rsid w:val="0048081A"/>
    <w:rsid w:val="00481AC8"/>
    <w:rsid w:val="00481CE0"/>
    <w:rsid w:val="00483524"/>
    <w:rsid w:val="00484EE7"/>
    <w:rsid w:val="00484F7A"/>
    <w:rsid w:val="0048579E"/>
    <w:rsid w:val="004870F6"/>
    <w:rsid w:val="00490398"/>
    <w:rsid w:val="004911E6"/>
    <w:rsid w:val="004923BB"/>
    <w:rsid w:val="00495B84"/>
    <w:rsid w:val="0049611D"/>
    <w:rsid w:val="00497100"/>
    <w:rsid w:val="0049769C"/>
    <w:rsid w:val="004A38F1"/>
    <w:rsid w:val="004A5630"/>
    <w:rsid w:val="004A685A"/>
    <w:rsid w:val="004A7D32"/>
    <w:rsid w:val="004B076D"/>
    <w:rsid w:val="004B086B"/>
    <w:rsid w:val="004B0E8A"/>
    <w:rsid w:val="004B0EC9"/>
    <w:rsid w:val="004B1AD2"/>
    <w:rsid w:val="004B3A6E"/>
    <w:rsid w:val="004B4137"/>
    <w:rsid w:val="004B4B21"/>
    <w:rsid w:val="004B4D8D"/>
    <w:rsid w:val="004B51FA"/>
    <w:rsid w:val="004B6D59"/>
    <w:rsid w:val="004B7D62"/>
    <w:rsid w:val="004C19DD"/>
    <w:rsid w:val="004C27A3"/>
    <w:rsid w:val="004C2A20"/>
    <w:rsid w:val="004C3640"/>
    <w:rsid w:val="004C388F"/>
    <w:rsid w:val="004C442A"/>
    <w:rsid w:val="004C6B3D"/>
    <w:rsid w:val="004C7832"/>
    <w:rsid w:val="004C798A"/>
    <w:rsid w:val="004D0FDB"/>
    <w:rsid w:val="004D48E8"/>
    <w:rsid w:val="004D52F8"/>
    <w:rsid w:val="004D5475"/>
    <w:rsid w:val="004D5928"/>
    <w:rsid w:val="004D610B"/>
    <w:rsid w:val="004D61A0"/>
    <w:rsid w:val="004D69E9"/>
    <w:rsid w:val="004D7470"/>
    <w:rsid w:val="004E1067"/>
    <w:rsid w:val="004E1588"/>
    <w:rsid w:val="004E2CD7"/>
    <w:rsid w:val="004E2F03"/>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7AD"/>
    <w:rsid w:val="00500DCB"/>
    <w:rsid w:val="00502982"/>
    <w:rsid w:val="005117CB"/>
    <w:rsid w:val="00512A06"/>
    <w:rsid w:val="0051302E"/>
    <w:rsid w:val="00514A25"/>
    <w:rsid w:val="00516702"/>
    <w:rsid w:val="00516E10"/>
    <w:rsid w:val="00517C55"/>
    <w:rsid w:val="00521066"/>
    <w:rsid w:val="0052116C"/>
    <w:rsid w:val="0052381F"/>
    <w:rsid w:val="005238D0"/>
    <w:rsid w:val="005253EF"/>
    <w:rsid w:val="00525D04"/>
    <w:rsid w:val="00526328"/>
    <w:rsid w:val="00530B1E"/>
    <w:rsid w:val="00531219"/>
    <w:rsid w:val="005327AE"/>
    <w:rsid w:val="00532FE5"/>
    <w:rsid w:val="00533086"/>
    <w:rsid w:val="00533421"/>
    <w:rsid w:val="00533792"/>
    <w:rsid w:val="00533E72"/>
    <w:rsid w:val="005346AE"/>
    <w:rsid w:val="00534A24"/>
    <w:rsid w:val="00534ED5"/>
    <w:rsid w:val="005350F6"/>
    <w:rsid w:val="005362EA"/>
    <w:rsid w:val="00536AFE"/>
    <w:rsid w:val="00537002"/>
    <w:rsid w:val="005377EC"/>
    <w:rsid w:val="005400E9"/>
    <w:rsid w:val="0054677B"/>
    <w:rsid w:val="00546B00"/>
    <w:rsid w:val="00546C09"/>
    <w:rsid w:val="00546F81"/>
    <w:rsid w:val="00547C08"/>
    <w:rsid w:val="005525B4"/>
    <w:rsid w:val="005537E5"/>
    <w:rsid w:val="00553F35"/>
    <w:rsid w:val="00556662"/>
    <w:rsid w:val="005568F2"/>
    <w:rsid w:val="00556938"/>
    <w:rsid w:val="00560268"/>
    <w:rsid w:val="00561B8C"/>
    <w:rsid w:val="005631A4"/>
    <w:rsid w:val="00563A9A"/>
    <w:rsid w:val="00563EE7"/>
    <w:rsid w:val="005649A2"/>
    <w:rsid w:val="00565110"/>
    <w:rsid w:val="0056686F"/>
    <w:rsid w:val="00570C25"/>
    <w:rsid w:val="00572B4A"/>
    <w:rsid w:val="00574594"/>
    <w:rsid w:val="005767D6"/>
    <w:rsid w:val="005768FD"/>
    <w:rsid w:val="00577AFA"/>
    <w:rsid w:val="00580673"/>
    <w:rsid w:val="0058130F"/>
    <w:rsid w:val="00581B7E"/>
    <w:rsid w:val="005836C7"/>
    <w:rsid w:val="0058589C"/>
    <w:rsid w:val="00585D52"/>
    <w:rsid w:val="0058722D"/>
    <w:rsid w:val="0059027A"/>
    <w:rsid w:val="00590603"/>
    <w:rsid w:val="00591CA1"/>
    <w:rsid w:val="005924A9"/>
    <w:rsid w:val="00593A7A"/>
    <w:rsid w:val="00593B43"/>
    <w:rsid w:val="00593E2B"/>
    <w:rsid w:val="00594F1B"/>
    <w:rsid w:val="00595A01"/>
    <w:rsid w:val="005964B2"/>
    <w:rsid w:val="005964F2"/>
    <w:rsid w:val="00597BE5"/>
    <w:rsid w:val="005A155E"/>
    <w:rsid w:val="005A161D"/>
    <w:rsid w:val="005A3C10"/>
    <w:rsid w:val="005A4B08"/>
    <w:rsid w:val="005A4EF5"/>
    <w:rsid w:val="005A54D2"/>
    <w:rsid w:val="005A641D"/>
    <w:rsid w:val="005A69DC"/>
    <w:rsid w:val="005B1FBC"/>
    <w:rsid w:val="005B3920"/>
    <w:rsid w:val="005B3F0F"/>
    <w:rsid w:val="005B4A22"/>
    <w:rsid w:val="005B58F3"/>
    <w:rsid w:val="005B7CB9"/>
    <w:rsid w:val="005C168E"/>
    <w:rsid w:val="005C2296"/>
    <w:rsid w:val="005C33AE"/>
    <w:rsid w:val="005C3F01"/>
    <w:rsid w:val="005C4917"/>
    <w:rsid w:val="005C5465"/>
    <w:rsid w:val="005C54C8"/>
    <w:rsid w:val="005C6C4D"/>
    <w:rsid w:val="005C7E03"/>
    <w:rsid w:val="005D11BE"/>
    <w:rsid w:val="005D15ED"/>
    <w:rsid w:val="005D179E"/>
    <w:rsid w:val="005D24E7"/>
    <w:rsid w:val="005D3504"/>
    <w:rsid w:val="005D4B58"/>
    <w:rsid w:val="005D5729"/>
    <w:rsid w:val="005D7D5B"/>
    <w:rsid w:val="005E0540"/>
    <w:rsid w:val="005E1A08"/>
    <w:rsid w:val="005E2F06"/>
    <w:rsid w:val="005E3176"/>
    <w:rsid w:val="005E3DA6"/>
    <w:rsid w:val="005E4441"/>
    <w:rsid w:val="005E7AAD"/>
    <w:rsid w:val="005F185C"/>
    <w:rsid w:val="005F2D5C"/>
    <w:rsid w:val="005F34A7"/>
    <w:rsid w:val="005F69EB"/>
    <w:rsid w:val="005F72A3"/>
    <w:rsid w:val="006007E8"/>
    <w:rsid w:val="0060086D"/>
    <w:rsid w:val="00600F2E"/>
    <w:rsid w:val="0060196E"/>
    <w:rsid w:val="00604208"/>
    <w:rsid w:val="00604C26"/>
    <w:rsid w:val="006066C6"/>
    <w:rsid w:val="0060686F"/>
    <w:rsid w:val="006079A6"/>
    <w:rsid w:val="00607F7F"/>
    <w:rsid w:val="00610721"/>
    <w:rsid w:val="0061127C"/>
    <w:rsid w:val="0061270D"/>
    <w:rsid w:val="00613FF3"/>
    <w:rsid w:val="00615490"/>
    <w:rsid w:val="006158EF"/>
    <w:rsid w:val="0061719D"/>
    <w:rsid w:val="006174EE"/>
    <w:rsid w:val="00617799"/>
    <w:rsid w:val="0061779A"/>
    <w:rsid w:val="00617FA7"/>
    <w:rsid w:val="00620488"/>
    <w:rsid w:val="00620D7F"/>
    <w:rsid w:val="00622222"/>
    <w:rsid w:val="00622AAA"/>
    <w:rsid w:val="00623B1D"/>
    <w:rsid w:val="00627524"/>
    <w:rsid w:val="00627B49"/>
    <w:rsid w:val="00630827"/>
    <w:rsid w:val="0063158D"/>
    <w:rsid w:val="006326AF"/>
    <w:rsid w:val="0063288D"/>
    <w:rsid w:val="00634117"/>
    <w:rsid w:val="0063571F"/>
    <w:rsid w:val="00642D34"/>
    <w:rsid w:val="0064377F"/>
    <w:rsid w:val="00643837"/>
    <w:rsid w:val="0064579A"/>
    <w:rsid w:val="006476ED"/>
    <w:rsid w:val="00650F9B"/>
    <w:rsid w:val="00651707"/>
    <w:rsid w:val="00652650"/>
    <w:rsid w:val="00652729"/>
    <w:rsid w:val="00654098"/>
    <w:rsid w:val="00656B40"/>
    <w:rsid w:val="006576D7"/>
    <w:rsid w:val="00660D4C"/>
    <w:rsid w:val="0066123B"/>
    <w:rsid w:val="006613CD"/>
    <w:rsid w:val="006615BE"/>
    <w:rsid w:val="00661947"/>
    <w:rsid w:val="006633EF"/>
    <w:rsid w:val="00664A78"/>
    <w:rsid w:val="0066529D"/>
    <w:rsid w:val="00665FCA"/>
    <w:rsid w:val="00666300"/>
    <w:rsid w:val="00666A07"/>
    <w:rsid w:val="00671714"/>
    <w:rsid w:val="0067173D"/>
    <w:rsid w:val="00672060"/>
    <w:rsid w:val="006733D2"/>
    <w:rsid w:val="0067394A"/>
    <w:rsid w:val="00675111"/>
    <w:rsid w:val="006756D3"/>
    <w:rsid w:val="00676448"/>
    <w:rsid w:val="00677764"/>
    <w:rsid w:val="00680090"/>
    <w:rsid w:val="00681B9E"/>
    <w:rsid w:val="00682B22"/>
    <w:rsid w:val="00684829"/>
    <w:rsid w:val="00684C98"/>
    <w:rsid w:val="006854AC"/>
    <w:rsid w:val="00687CB7"/>
    <w:rsid w:val="00687F41"/>
    <w:rsid w:val="00692A69"/>
    <w:rsid w:val="006945D4"/>
    <w:rsid w:val="00694812"/>
    <w:rsid w:val="00694B2C"/>
    <w:rsid w:val="00694C7F"/>
    <w:rsid w:val="00694F2F"/>
    <w:rsid w:val="00694FC2"/>
    <w:rsid w:val="006953B0"/>
    <w:rsid w:val="00696723"/>
    <w:rsid w:val="00696AED"/>
    <w:rsid w:val="006A0614"/>
    <w:rsid w:val="006A326C"/>
    <w:rsid w:val="006A35C9"/>
    <w:rsid w:val="006A3718"/>
    <w:rsid w:val="006A3E1B"/>
    <w:rsid w:val="006A41B8"/>
    <w:rsid w:val="006A69E2"/>
    <w:rsid w:val="006A6E94"/>
    <w:rsid w:val="006A70E2"/>
    <w:rsid w:val="006B060F"/>
    <w:rsid w:val="006B0CED"/>
    <w:rsid w:val="006B116B"/>
    <w:rsid w:val="006B1211"/>
    <w:rsid w:val="006B16F0"/>
    <w:rsid w:val="006B1E67"/>
    <w:rsid w:val="006B27AE"/>
    <w:rsid w:val="006B4FA5"/>
    <w:rsid w:val="006B57E8"/>
    <w:rsid w:val="006B616F"/>
    <w:rsid w:val="006B6EC2"/>
    <w:rsid w:val="006B7C08"/>
    <w:rsid w:val="006C3A52"/>
    <w:rsid w:val="006C6656"/>
    <w:rsid w:val="006D0A15"/>
    <w:rsid w:val="006D0C79"/>
    <w:rsid w:val="006D0DBF"/>
    <w:rsid w:val="006D2B68"/>
    <w:rsid w:val="006D364F"/>
    <w:rsid w:val="006D389E"/>
    <w:rsid w:val="006D3F0E"/>
    <w:rsid w:val="006D51C7"/>
    <w:rsid w:val="006D6008"/>
    <w:rsid w:val="006D6BC3"/>
    <w:rsid w:val="006E316B"/>
    <w:rsid w:val="006E414A"/>
    <w:rsid w:val="006E414F"/>
    <w:rsid w:val="006E41AF"/>
    <w:rsid w:val="006E5765"/>
    <w:rsid w:val="006E6BA3"/>
    <w:rsid w:val="006E72C0"/>
    <w:rsid w:val="006E793E"/>
    <w:rsid w:val="006E7D0E"/>
    <w:rsid w:val="006F05FA"/>
    <w:rsid w:val="006F15C6"/>
    <w:rsid w:val="006F1A72"/>
    <w:rsid w:val="006F1D0A"/>
    <w:rsid w:val="006F23EA"/>
    <w:rsid w:val="006F3B63"/>
    <w:rsid w:val="006F4383"/>
    <w:rsid w:val="006F4BFE"/>
    <w:rsid w:val="006F4DD2"/>
    <w:rsid w:val="006F7E34"/>
    <w:rsid w:val="00700D00"/>
    <w:rsid w:val="0070184D"/>
    <w:rsid w:val="00704941"/>
    <w:rsid w:val="007055B4"/>
    <w:rsid w:val="0070567F"/>
    <w:rsid w:val="00705BCF"/>
    <w:rsid w:val="0071030D"/>
    <w:rsid w:val="00710FB5"/>
    <w:rsid w:val="00711779"/>
    <w:rsid w:val="00712171"/>
    <w:rsid w:val="007121A0"/>
    <w:rsid w:val="00713906"/>
    <w:rsid w:val="007139D5"/>
    <w:rsid w:val="00714B06"/>
    <w:rsid w:val="00714E28"/>
    <w:rsid w:val="0071588C"/>
    <w:rsid w:val="00715B99"/>
    <w:rsid w:val="007164E2"/>
    <w:rsid w:val="007167BE"/>
    <w:rsid w:val="0072119A"/>
    <w:rsid w:val="0072205A"/>
    <w:rsid w:val="00722A7E"/>
    <w:rsid w:val="00722B91"/>
    <w:rsid w:val="00723D01"/>
    <w:rsid w:val="00724D61"/>
    <w:rsid w:val="00724FE8"/>
    <w:rsid w:val="007269FE"/>
    <w:rsid w:val="00726D9A"/>
    <w:rsid w:val="0072785D"/>
    <w:rsid w:val="00730482"/>
    <w:rsid w:val="0073056F"/>
    <w:rsid w:val="007307EB"/>
    <w:rsid w:val="00731771"/>
    <w:rsid w:val="007322EB"/>
    <w:rsid w:val="007327A2"/>
    <w:rsid w:val="0073298F"/>
    <w:rsid w:val="007345D7"/>
    <w:rsid w:val="00735F8D"/>
    <w:rsid w:val="007373EE"/>
    <w:rsid w:val="0074007F"/>
    <w:rsid w:val="00741185"/>
    <w:rsid w:val="00741689"/>
    <w:rsid w:val="00741BFA"/>
    <w:rsid w:val="007446D0"/>
    <w:rsid w:val="00745484"/>
    <w:rsid w:val="00745752"/>
    <w:rsid w:val="00746985"/>
    <w:rsid w:val="00746E72"/>
    <w:rsid w:val="007500E5"/>
    <w:rsid w:val="0075021C"/>
    <w:rsid w:val="00750DE0"/>
    <w:rsid w:val="00750E3E"/>
    <w:rsid w:val="00752186"/>
    <w:rsid w:val="00753209"/>
    <w:rsid w:val="00753D28"/>
    <w:rsid w:val="007551CE"/>
    <w:rsid w:val="007564BD"/>
    <w:rsid w:val="00757972"/>
    <w:rsid w:val="007602A0"/>
    <w:rsid w:val="007602AE"/>
    <w:rsid w:val="007603B4"/>
    <w:rsid w:val="00761F27"/>
    <w:rsid w:val="007628C0"/>
    <w:rsid w:val="0076588E"/>
    <w:rsid w:val="00766C5A"/>
    <w:rsid w:val="00767964"/>
    <w:rsid w:val="007701FC"/>
    <w:rsid w:val="0077089E"/>
    <w:rsid w:val="00771A84"/>
    <w:rsid w:val="00771D69"/>
    <w:rsid w:val="00773139"/>
    <w:rsid w:val="007732BA"/>
    <w:rsid w:val="007736C6"/>
    <w:rsid w:val="00774C28"/>
    <w:rsid w:val="0077621C"/>
    <w:rsid w:val="007771DA"/>
    <w:rsid w:val="00781123"/>
    <w:rsid w:val="00783365"/>
    <w:rsid w:val="00783390"/>
    <w:rsid w:val="0078587A"/>
    <w:rsid w:val="00786110"/>
    <w:rsid w:val="0078714A"/>
    <w:rsid w:val="00790332"/>
    <w:rsid w:val="00790662"/>
    <w:rsid w:val="0079208C"/>
    <w:rsid w:val="007921D2"/>
    <w:rsid w:val="007926A3"/>
    <w:rsid w:val="00793964"/>
    <w:rsid w:val="00793E13"/>
    <w:rsid w:val="007947C9"/>
    <w:rsid w:val="00795DDF"/>
    <w:rsid w:val="00796AE2"/>
    <w:rsid w:val="007A3B7F"/>
    <w:rsid w:val="007A4225"/>
    <w:rsid w:val="007A493D"/>
    <w:rsid w:val="007A4ECC"/>
    <w:rsid w:val="007A50C2"/>
    <w:rsid w:val="007A6B7F"/>
    <w:rsid w:val="007A6BC6"/>
    <w:rsid w:val="007A7428"/>
    <w:rsid w:val="007B1E8F"/>
    <w:rsid w:val="007B2857"/>
    <w:rsid w:val="007B2A51"/>
    <w:rsid w:val="007B4C04"/>
    <w:rsid w:val="007B604D"/>
    <w:rsid w:val="007B61E3"/>
    <w:rsid w:val="007C0DF9"/>
    <w:rsid w:val="007C2A99"/>
    <w:rsid w:val="007C3114"/>
    <w:rsid w:val="007C366D"/>
    <w:rsid w:val="007C4E05"/>
    <w:rsid w:val="007C58DB"/>
    <w:rsid w:val="007D0CD4"/>
    <w:rsid w:val="007D26F3"/>
    <w:rsid w:val="007D2C14"/>
    <w:rsid w:val="007D4795"/>
    <w:rsid w:val="007D5010"/>
    <w:rsid w:val="007D5077"/>
    <w:rsid w:val="007D580D"/>
    <w:rsid w:val="007D72B4"/>
    <w:rsid w:val="007D79E7"/>
    <w:rsid w:val="007E04D3"/>
    <w:rsid w:val="007E0A00"/>
    <w:rsid w:val="007E2F75"/>
    <w:rsid w:val="007E397A"/>
    <w:rsid w:val="007E3EC1"/>
    <w:rsid w:val="007E46E9"/>
    <w:rsid w:val="007E48DC"/>
    <w:rsid w:val="007E4F3D"/>
    <w:rsid w:val="007E616C"/>
    <w:rsid w:val="007E6906"/>
    <w:rsid w:val="007E6984"/>
    <w:rsid w:val="007F0425"/>
    <w:rsid w:val="007F06AB"/>
    <w:rsid w:val="007F1E29"/>
    <w:rsid w:val="007F3AD2"/>
    <w:rsid w:val="007F4194"/>
    <w:rsid w:val="007F50D2"/>
    <w:rsid w:val="007F50E2"/>
    <w:rsid w:val="007F57E7"/>
    <w:rsid w:val="007F5C26"/>
    <w:rsid w:val="007F6714"/>
    <w:rsid w:val="007F799D"/>
    <w:rsid w:val="007F7D2A"/>
    <w:rsid w:val="007F7E5E"/>
    <w:rsid w:val="00800FCD"/>
    <w:rsid w:val="00801396"/>
    <w:rsid w:val="008018E0"/>
    <w:rsid w:val="0080200B"/>
    <w:rsid w:val="008022FC"/>
    <w:rsid w:val="00803AB4"/>
    <w:rsid w:val="00803C3E"/>
    <w:rsid w:val="00803C68"/>
    <w:rsid w:val="00804CE7"/>
    <w:rsid w:val="008067E6"/>
    <w:rsid w:val="008119A5"/>
    <w:rsid w:val="0081268E"/>
    <w:rsid w:val="00813981"/>
    <w:rsid w:val="008164AD"/>
    <w:rsid w:val="008172C2"/>
    <w:rsid w:val="00820852"/>
    <w:rsid w:val="008237F7"/>
    <w:rsid w:val="008266E1"/>
    <w:rsid w:val="00826EA7"/>
    <w:rsid w:val="008274EB"/>
    <w:rsid w:val="008306FC"/>
    <w:rsid w:val="00831D82"/>
    <w:rsid w:val="008322F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4663"/>
    <w:rsid w:val="00846666"/>
    <w:rsid w:val="00846BF1"/>
    <w:rsid w:val="00847F94"/>
    <w:rsid w:val="00852934"/>
    <w:rsid w:val="00852CD5"/>
    <w:rsid w:val="00853AA2"/>
    <w:rsid w:val="00854220"/>
    <w:rsid w:val="008547ED"/>
    <w:rsid w:val="00855AEE"/>
    <w:rsid w:val="00857A4E"/>
    <w:rsid w:val="00857FF8"/>
    <w:rsid w:val="0086083C"/>
    <w:rsid w:val="00860B29"/>
    <w:rsid w:val="008615AC"/>
    <w:rsid w:val="00861E9B"/>
    <w:rsid w:val="0086207C"/>
    <w:rsid w:val="0086475B"/>
    <w:rsid w:val="00864C9D"/>
    <w:rsid w:val="008668D1"/>
    <w:rsid w:val="0087015E"/>
    <w:rsid w:val="008707BB"/>
    <w:rsid w:val="008709B6"/>
    <w:rsid w:val="00870A9D"/>
    <w:rsid w:val="00871062"/>
    <w:rsid w:val="00871526"/>
    <w:rsid w:val="008733DC"/>
    <w:rsid w:val="008737C8"/>
    <w:rsid w:val="008739AE"/>
    <w:rsid w:val="00873FD3"/>
    <w:rsid w:val="008758FC"/>
    <w:rsid w:val="008821A6"/>
    <w:rsid w:val="0088442E"/>
    <w:rsid w:val="00885F03"/>
    <w:rsid w:val="00886FAC"/>
    <w:rsid w:val="00890344"/>
    <w:rsid w:val="008906FA"/>
    <w:rsid w:val="008923AE"/>
    <w:rsid w:val="008923B4"/>
    <w:rsid w:val="008937FE"/>
    <w:rsid w:val="00893C94"/>
    <w:rsid w:val="0089429F"/>
    <w:rsid w:val="008961C2"/>
    <w:rsid w:val="008968AD"/>
    <w:rsid w:val="00896C54"/>
    <w:rsid w:val="00896E10"/>
    <w:rsid w:val="00897D3C"/>
    <w:rsid w:val="008A3517"/>
    <w:rsid w:val="008A6373"/>
    <w:rsid w:val="008A648F"/>
    <w:rsid w:val="008A6A97"/>
    <w:rsid w:val="008A7657"/>
    <w:rsid w:val="008A7679"/>
    <w:rsid w:val="008B0B64"/>
    <w:rsid w:val="008B6D29"/>
    <w:rsid w:val="008B73E8"/>
    <w:rsid w:val="008C3C3E"/>
    <w:rsid w:val="008C4FCC"/>
    <w:rsid w:val="008C628A"/>
    <w:rsid w:val="008C6CDC"/>
    <w:rsid w:val="008C7079"/>
    <w:rsid w:val="008D18E2"/>
    <w:rsid w:val="008D1ABF"/>
    <w:rsid w:val="008D4501"/>
    <w:rsid w:val="008D499E"/>
    <w:rsid w:val="008D4B22"/>
    <w:rsid w:val="008D57C2"/>
    <w:rsid w:val="008D5836"/>
    <w:rsid w:val="008D71CE"/>
    <w:rsid w:val="008D77B0"/>
    <w:rsid w:val="008E3D86"/>
    <w:rsid w:val="008E4012"/>
    <w:rsid w:val="008F1579"/>
    <w:rsid w:val="008F19A8"/>
    <w:rsid w:val="008F26CF"/>
    <w:rsid w:val="008F3E3D"/>
    <w:rsid w:val="008F5073"/>
    <w:rsid w:val="008F6532"/>
    <w:rsid w:val="008F69CE"/>
    <w:rsid w:val="008F7521"/>
    <w:rsid w:val="008F7908"/>
    <w:rsid w:val="008F7C42"/>
    <w:rsid w:val="009031B8"/>
    <w:rsid w:val="0090383E"/>
    <w:rsid w:val="00903E74"/>
    <w:rsid w:val="00907C53"/>
    <w:rsid w:val="00912173"/>
    <w:rsid w:val="00914313"/>
    <w:rsid w:val="00916572"/>
    <w:rsid w:val="00916A0A"/>
    <w:rsid w:val="00916C17"/>
    <w:rsid w:val="0092099A"/>
    <w:rsid w:val="00920C6E"/>
    <w:rsid w:val="00922EF9"/>
    <w:rsid w:val="009243AB"/>
    <w:rsid w:val="00926056"/>
    <w:rsid w:val="00926BCC"/>
    <w:rsid w:val="009277DD"/>
    <w:rsid w:val="0093118D"/>
    <w:rsid w:val="0093148C"/>
    <w:rsid w:val="00932E3F"/>
    <w:rsid w:val="009332AB"/>
    <w:rsid w:val="00933944"/>
    <w:rsid w:val="00936324"/>
    <w:rsid w:val="00936B25"/>
    <w:rsid w:val="00936D5E"/>
    <w:rsid w:val="009370D4"/>
    <w:rsid w:val="009379E4"/>
    <w:rsid w:val="0094320F"/>
    <w:rsid w:val="009448D3"/>
    <w:rsid w:val="0094579D"/>
    <w:rsid w:val="009468FD"/>
    <w:rsid w:val="009518D8"/>
    <w:rsid w:val="00951B44"/>
    <w:rsid w:val="0095419B"/>
    <w:rsid w:val="00954C47"/>
    <w:rsid w:val="00955AE0"/>
    <w:rsid w:val="00961352"/>
    <w:rsid w:val="0096209A"/>
    <w:rsid w:val="00964064"/>
    <w:rsid w:val="00964E98"/>
    <w:rsid w:val="009651F5"/>
    <w:rsid w:val="009656EE"/>
    <w:rsid w:val="009656F7"/>
    <w:rsid w:val="00972EDF"/>
    <w:rsid w:val="00972F08"/>
    <w:rsid w:val="00975035"/>
    <w:rsid w:val="00975A61"/>
    <w:rsid w:val="00982486"/>
    <w:rsid w:val="0098260F"/>
    <w:rsid w:val="009834F7"/>
    <w:rsid w:val="00986C83"/>
    <w:rsid w:val="00987C7A"/>
    <w:rsid w:val="00990206"/>
    <w:rsid w:val="00990D7D"/>
    <w:rsid w:val="00990D82"/>
    <w:rsid w:val="00991E13"/>
    <w:rsid w:val="0099299D"/>
    <w:rsid w:val="00993516"/>
    <w:rsid w:val="009951AE"/>
    <w:rsid w:val="00996C7C"/>
    <w:rsid w:val="00997817"/>
    <w:rsid w:val="009979A3"/>
    <w:rsid w:val="009A057C"/>
    <w:rsid w:val="009A08DD"/>
    <w:rsid w:val="009A14E6"/>
    <w:rsid w:val="009A2358"/>
    <w:rsid w:val="009A2992"/>
    <w:rsid w:val="009A4A70"/>
    <w:rsid w:val="009A6072"/>
    <w:rsid w:val="009B05A3"/>
    <w:rsid w:val="009B0B56"/>
    <w:rsid w:val="009B117C"/>
    <w:rsid w:val="009B14EF"/>
    <w:rsid w:val="009B21FA"/>
    <w:rsid w:val="009B23AF"/>
    <w:rsid w:val="009B2790"/>
    <w:rsid w:val="009B2B19"/>
    <w:rsid w:val="009B6939"/>
    <w:rsid w:val="009B72B5"/>
    <w:rsid w:val="009C2B8C"/>
    <w:rsid w:val="009C3D3C"/>
    <w:rsid w:val="009C4792"/>
    <w:rsid w:val="009C4A2E"/>
    <w:rsid w:val="009C5895"/>
    <w:rsid w:val="009C6D10"/>
    <w:rsid w:val="009C73BD"/>
    <w:rsid w:val="009D0B1F"/>
    <w:rsid w:val="009D12C7"/>
    <w:rsid w:val="009D2A27"/>
    <w:rsid w:val="009D513A"/>
    <w:rsid w:val="009D541F"/>
    <w:rsid w:val="009D5517"/>
    <w:rsid w:val="009D6496"/>
    <w:rsid w:val="009D6797"/>
    <w:rsid w:val="009D7703"/>
    <w:rsid w:val="009D780D"/>
    <w:rsid w:val="009D7978"/>
    <w:rsid w:val="009D7BFF"/>
    <w:rsid w:val="009E2D84"/>
    <w:rsid w:val="009E4744"/>
    <w:rsid w:val="009E5691"/>
    <w:rsid w:val="009E5E93"/>
    <w:rsid w:val="009E5F55"/>
    <w:rsid w:val="009E6670"/>
    <w:rsid w:val="009E7475"/>
    <w:rsid w:val="009E7DF2"/>
    <w:rsid w:val="009F06C0"/>
    <w:rsid w:val="009F0A52"/>
    <w:rsid w:val="009F1B61"/>
    <w:rsid w:val="009F1D51"/>
    <w:rsid w:val="009F2797"/>
    <w:rsid w:val="009F2CD0"/>
    <w:rsid w:val="009F411B"/>
    <w:rsid w:val="009F5EA4"/>
    <w:rsid w:val="009F6833"/>
    <w:rsid w:val="009F7344"/>
    <w:rsid w:val="009F74EE"/>
    <w:rsid w:val="00A014D8"/>
    <w:rsid w:val="00A019AB"/>
    <w:rsid w:val="00A03C77"/>
    <w:rsid w:val="00A040A9"/>
    <w:rsid w:val="00A05A26"/>
    <w:rsid w:val="00A061CE"/>
    <w:rsid w:val="00A06E3A"/>
    <w:rsid w:val="00A0709B"/>
    <w:rsid w:val="00A072B3"/>
    <w:rsid w:val="00A07702"/>
    <w:rsid w:val="00A07DB0"/>
    <w:rsid w:val="00A12B40"/>
    <w:rsid w:val="00A131FE"/>
    <w:rsid w:val="00A136EA"/>
    <w:rsid w:val="00A13D6D"/>
    <w:rsid w:val="00A145CB"/>
    <w:rsid w:val="00A17660"/>
    <w:rsid w:val="00A17F3B"/>
    <w:rsid w:val="00A220FF"/>
    <w:rsid w:val="00A240E3"/>
    <w:rsid w:val="00A24251"/>
    <w:rsid w:val="00A25034"/>
    <w:rsid w:val="00A25FF8"/>
    <w:rsid w:val="00A26074"/>
    <w:rsid w:val="00A26182"/>
    <w:rsid w:val="00A269A6"/>
    <w:rsid w:val="00A308D9"/>
    <w:rsid w:val="00A3121E"/>
    <w:rsid w:val="00A31F8F"/>
    <w:rsid w:val="00A32BAB"/>
    <w:rsid w:val="00A32D28"/>
    <w:rsid w:val="00A335C9"/>
    <w:rsid w:val="00A33B8B"/>
    <w:rsid w:val="00A34CEB"/>
    <w:rsid w:val="00A3583B"/>
    <w:rsid w:val="00A35DD3"/>
    <w:rsid w:val="00A36560"/>
    <w:rsid w:val="00A40013"/>
    <w:rsid w:val="00A4002F"/>
    <w:rsid w:val="00A41536"/>
    <w:rsid w:val="00A41B3E"/>
    <w:rsid w:val="00A42E1B"/>
    <w:rsid w:val="00A440B3"/>
    <w:rsid w:val="00A446EF"/>
    <w:rsid w:val="00A47564"/>
    <w:rsid w:val="00A50DFB"/>
    <w:rsid w:val="00A517F2"/>
    <w:rsid w:val="00A51D87"/>
    <w:rsid w:val="00A51E7E"/>
    <w:rsid w:val="00A54C36"/>
    <w:rsid w:val="00A56B28"/>
    <w:rsid w:val="00A573B7"/>
    <w:rsid w:val="00A578BE"/>
    <w:rsid w:val="00A60B8E"/>
    <w:rsid w:val="00A610F2"/>
    <w:rsid w:val="00A629F3"/>
    <w:rsid w:val="00A63065"/>
    <w:rsid w:val="00A63413"/>
    <w:rsid w:val="00A64700"/>
    <w:rsid w:val="00A65FEF"/>
    <w:rsid w:val="00A7038B"/>
    <w:rsid w:val="00A70596"/>
    <w:rsid w:val="00A70C94"/>
    <w:rsid w:val="00A7255A"/>
    <w:rsid w:val="00A73FC0"/>
    <w:rsid w:val="00A75A16"/>
    <w:rsid w:val="00A75C50"/>
    <w:rsid w:val="00A76D9F"/>
    <w:rsid w:val="00A76F3F"/>
    <w:rsid w:val="00A80001"/>
    <w:rsid w:val="00A80179"/>
    <w:rsid w:val="00A80596"/>
    <w:rsid w:val="00A80A13"/>
    <w:rsid w:val="00A81B1E"/>
    <w:rsid w:val="00A81FC5"/>
    <w:rsid w:val="00A8476C"/>
    <w:rsid w:val="00A864D4"/>
    <w:rsid w:val="00A92323"/>
    <w:rsid w:val="00A94B54"/>
    <w:rsid w:val="00A9526C"/>
    <w:rsid w:val="00A95A6A"/>
    <w:rsid w:val="00A95A97"/>
    <w:rsid w:val="00A96525"/>
    <w:rsid w:val="00A975D8"/>
    <w:rsid w:val="00A97CC3"/>
    <w:rsid w:val="00AA0848"/>
    <w:rsid w:val="00AA1B09"/>
    <w:rsid w:val="00AA301A"/>
    <w:rsid w:val="00AA4416"/>
    <w:rsid w:val="00AA7611"/>
    <w:rsid w:val="00AA7D08"/>
    <w:rsid w:val="00AB023C"/>
    <w:rsid w:val="00AB0395"/>
    <w:rsid w:val="00AB0A56"/>
    <w:rsid w:val="00AB0BD2"/>
    <w:rsid w:val="00AB1073"/>
    <w:rsid w:val="00AB1442"/>
    <w:rsid w:val="00AB2B64"/>
    <w:rsid w:val="00AB324E"/>
    <w:rsid w:val="00AB3647"/>
    <w:rsid w:val="00AB5AA8"/>
    <w:rsid w:val="00AB768A"/>
    <w:rsid w:val="00AB78FE"/>
    <w:rsid w:val="00AC572F"/>
    <w:rsid w:val="00AC581B"/>
    <w:rsid w:val="00AD0F5B"/>
    <w:rsid w:val="00AD15BE"/>
    <w:rsid w:val="00AD19BE"/>
    <w:rsid w:val="00AD3B3D"/>
    <w:rsid w:val="00AD41B8"/>
    <w:rsid w:val="00AD5DB4"/>
    <w:rsid w:val="00AD5EEA"/>
    <w:rsid w:val="00AD5F32"/>
    <w:rsid w:val="00AD7942"/>
    <w:rsid w:val="00AE0AA6"/>
    <w:rsid w:val="00AE22E1"/>
    <w:rsid w:val="00AE3056"/>
    <w:rsid w:val="00AE321B"/>
    <w:rsid w:val="00AE46E7"/>
    <w:rsid w:val="00AE5131"/>
    <w:rsid w:val="00AE6362"/>
    <w:rsid w:val="00AE6523"/>
    <w:rsid w:val="00AE6BB6"/>
    <w:rsid w:val="00AE7E43"/>
    <w:rsid w:val="00AF11D7"/>
    <w:rsid w:val="00AF258B"/>
    <w:rsid w:val="00AF352D"/>
    <w:rsid w:val="00AF3BC8"/>
    <w:rsid w:val="00AF4C2B"/>
    <w:rsid w:val="00AF6FFF"/>
    <w:rsid w:val="00B0018D"/>
    <w:rsid w:val="00B0234C"/>
    <w:rsid w:val="00B06B64"/>
    <w:rsid w:val="00B13B06"/>
    <w:rsid w:val="00B13C6C"/>
    <w:rsid w:val="00B1460D"/>
    <w:rsid w:val="00B14654"/>
    <w:rsid w:val="00B14694"/>
    <w:rsid w:val="00B148F6"/>
    <w:rsid w:val="00B14C22"/>
    <w:rsid w:val="00B16E4B"/>
    <w:rsid w:val="00B20326"/>
    <w:rsid w:val="00B20990"/>
    <w:rsid w:val="00B21529"/>
    <w:rsid w:val="00B2286A"/>
    <w:rsid w:val="00B23996"/>
    <w:rsid w:val="00B24CBF"/>
    <w:rsid w:val="00B24DBF"/>
    <w:rsid w:val="00B2613B"/>
    <w:rsid w:val="00B261AE"/>
    <w:rsid w:val="00B27A53"/>
    <w:rsid w:val="00B27EF1"/>
    <w:rsid w:val="00B30345"/>
    <w:rsid w:val="00B31668"/>
    <w:rsid w:val="00B316AE"/>
    <w:rsid w:val="00B316C4"/>
    <w:rsid w:val="00B31C2F"/>
    <w:rsid w:val="00B34775"/>
    <w:rsid w:val="00B34D2B"/>
    <w:rsid w:val="00B36267"/>
    <w:rsid w:val="00B3698C"/>
    <w:rsid w:val="00B36AFB"/>
    <w:rsid w:val="00B379CD"/>
    <w:rsid w:val="00B37A17"/>
    <w:rsid w:val="00B4025C"/>
    <w:rsid w:val="00B40AA4"/>
    <w:rsid w:val="00B40E0D"/>
    <w:rsid w:val="00B42D26"/>
    <w:rsid w:val="00B43714"/>
    <w:rsid w:val="00B43793"/>
    <w:rsid w:val="00B47850"/>
    <w:rsid w:val="00B5026D"/>
    <w:rsid w:val="00B50FF0"/>
    <w:rsid w:val="00B51DC4"/>
    <w:rsid w:val="00B53EC3"/>
    <w:rsid w:val="00B5543A"/>
    <w:rsid w:val="00B56379"/>
    <w:rsid w:val="00B56706"/>
    <w:rsid w:val="00B56844"/>
    <w:rsid w:val="00B57073"/>
    <w:rsid w:val="00B601B8"/>
    <w:rsid w:val="00B62DEE"/>
    <w:rsid w:val="00B63926"/>
    <w:rsid w:val="00B6580B"/>
    <w:rsid w:val="00B6598B"/>
    <w:rsid w:val="00B71F2D"/>
    <w:rsid w:val="00B71F72"/>
    <w:rsid w:val="00B74D1A"/>
    <w:rsid w:val="00B75EC3"/>
    <w:rsid w:val="00B76D8D"/>
    <w:rsid w:val="00B76FB3"/>
    <w:rsid w:val="00B802C2"/>
    <w:rsid w:val="00B80496"/>
    <w:rsid w:val="00B80A8E"/>
    <w:rsid w:val="00B81FA6"/>
    <w:rsid w:val="00B84179"/>
    <w:rsid w:val="00B846DF"/>
    <w:rsid w:val="00B84AC7"/>
    <w:rsid w:val="00B877BF"/>
    <w:rsid w:val="00B914BA"/>
    <w:rsid w:val="00B93D63"/>
    <w:rsid w:val="00B944F6"/>
    <w:rsid w:val="00B94B82"/>
    <w:rsid w:val="00B9537D"/>
    <w:rsid w:val="00B9585B"/>
    <w:rsid w:val="00B96275"/>
    <w:rsid w:val="00B973CB"/>
    <w:rsid w:val="00B97B7D"/>
    <w:rsid w:val="00BA0548"/>
    <w:rsid w:val="00BA093C"/>
    <w:rsid w:val="00BA0E4F"/>
    <w:rsid w:val="00BA3E49"/>
    <w:rsid w:val="00BA49CC"/>
    <w:rsid w:val="00BA5EDD"/>
    <w:rsid w:val="00BA6ECE"/>
    <w:rsid w:val="00BA754A"/>
    <w:rsid w:val="00BB1312"/>
    <w:rsid w:val="00BB1563"/>
    <w:rsid w:val="00BB3C83"/>
    <w:rsid w:val="00BB4DD2"/>
    <w:rsid w:val="00BB533B"/>
    <w:rsid w:val="00BB5C3E"/>
    <w:rsid w:val="00BB604F"/>
    <w:rsid w:val="00BB6D7F"/>
    <w:rsid w:val="00BB70AB"/>
    <w:rsid w:val="00BC0464"/>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18B"/>
    <w:rsid w:val="00BC7A0C"/>
    <w:rsid w:val="00BD0861"/>
    <w:rsid w:val="00BD19FE"/>
    <w:rsid w:val="00BD2BF4"/>
    <w:rsid w:val="00BD334A"/>
    <w:rsid w:val="00BD4F7B"/>
    <w:rsid w:val="00BD5595"/>
    <w:rsid w:val="00BD5C10"/>
    <w:rsid w:val="00BD61B1"/>
    <w:rsid w:val="00BD61EC"/>
    <w:rsid w:val="00BD6252"/>
    <w:rsid w:val="00BD7E5E"/>
    <w:rsid w:val="00BE1098"/>
    <w:rsid w:val="00BE21F1"/>
    <w:rsid w:val="00BE2300"/>
    <w:rsid w:val="00BE249D"/>
    <w:rsid w:val="00BE37C9"/>
    <w:rsid w:val="00BE3983"/>
    <w:rsid w:val="00BE4A00"/>
    <w:rsid w:val="00BE517D"/>
    <w:rsid w:val="00BE54F5"/>
    <w:rsid w:val="00BE6900"/>
    <w:rsid w:val="00BE7CB5"/>
    <w:rsid w:val="00BF1AE8"/>
    <w:rsid w:val="00BF1E54"/>
    <w:rsid w:val="00BF20EE"/>
    <w:rsid w:val="00BF251D"/>
    <w:rsid w:val="00BF2C84"/>
    <w:rsid w:val="00BF40AB"/>
    <w:rsid w:val="00BF69B1"/>
    <w:rsid w:val="00BF7266"/>
    <w:rsid w:val="00BF745F"/>
    <w:rsid w:val="00BF766E"/>
    <w:rsid w:val="00C01835"/>
    <w:rsid w:val="00C0242D"/>
    <w:rsid w:val="00C053E7"/>
    <w:rsid w:val="00C07BC0"/>
    <w:rsid w:val="00C10126"/>
    <w:rsid w:val="00C1058C"/>
    <w:rsid w:val="00C1115B"/>
    <w:rsid w:val="00C11803"/>
    <w:rsid w:val="00C15348"/>
    <w:rsid w:val="00C16291"/>
    <w:rsid w:val="00C16EF6"/>
    <w:rsid w:val="00C172B1"/>
    <w:rsid w:val="00C17B7C"/>
    <w:rsid w:val="00C203E8"/>
    <w:rsid w:val="00C20E39"/>
    <w:rsid w:val="00C20FDC"/>
    <w:rsid w:val="00C21692"/>
    <w:rsid w:val="00C2276E"/>
    <w:rsid w:val="00C22B65"/>
    <w:rsid w:val="00C23BBA"/>
    <w:rsid w:val="00C25836"/>
    <w:rsid w:val="00C263F1"/>
    <w:rsid w:val="00C264B2"/>
    <w:rsid w:val="00C2656E"/>
    <w:rsid w:val="00C304A1"/>
    <w:rsid w:val="00C309F6"/>
    <w:rsid w:val="00C31AB0"/>
    <w:rsid w:val="00C33579"/>
    <w:rsid w:val="00C337C8"/>
    <w:rsid w:val="00C33A20"/>
    <w:rsid w:val="00C340E8"/>
    <w:rsid w:val="00C3476D"/>
    <w:rsid w:val="00C36287"/>
    <w:rsid w:val="00C36624"/>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16E1"/>
    <w:rsid w:val="00C54BB7"/>
    <w:rsid w:val="00C57A93"/>
    <w:rsid w:val="00C57FB4"/>
    <w:rsid w:val="00C60002"/>
    <w:rsid w:val="00C60BDC"/>
    <w:rsid w:val="00C60D1E"/>
    <w:rsid w:val="00C6418E"/>
    <w:rsid w:val="00C64212"/>
    <w:rsid w:val="00C64A77"/>
    <w:rsid w:val="00C6558B"/>
    <w:rsid w:val="00C6632D"/>
    <w:rsid w:val="00C67E88"/>
    <w:rsid w:val="00C7002F"/>
    <w:rsid w:val="00C70FEE"/>
    <w:rsid w:val="00C722FC"/>
    <w:rsid w:val="00C75E6A"/>
    <w:rsid w:val="00C7623F"/>
    <w:rsid w:val="00C82A86"/>
    <w:rsid w:val="00C84655"/>
    <w:rsid w:val="00C860CE"/>
    <w:rsid w:val="00C86108"/>
    <w:rsid w:val="00C8778B"/>
    <w:rsid w:val="00C87D60"/>
    <w:rsid w:val="00C9006E"/>
    <w:rsid w:val="00C9047A"/>
    <w:rsid w:val="00C904C0"/>
    <w:rsid w:val="00C925C1"/>
    <w:rsid w:val="00C95E39"/>
    <w:rsid w:val="00C97290"/>
    <w:rsid w:val="00C97FFE"/>
    <w:rsid w:val="00CA01EC"/>
    <w:rsid w:val="00CA020F"/>
    <w:rsid w:val="00CA0376"/>
    <w:rsid w:val="00CA038A"/>
    <w:rsid w:val="00CA072E"/>
    <w:rsid w:val="00CA1B08"/>
    <w:rsid w:val="00CA2A03"/>
    <w:rsid w:val="00CA3517"/>
    <w:rsid w:val="00CA578D"/>
    <w:rsid w:val="00CA5904"/>
    <w:rsid w:val="00CA6247"/>
    <w:rsid w:val="00CA6B7F"/>
    <w:rsid w:val="00CB3A2C"/>
    <w:rsid w:val="00CB3BAA"/>
    <w:rsid w:val="00CB497A"/>
    <w:rsid w:val="00CB4D6F"/>
    <w:rsid w:val="00CB6C20"/>
    <w:rsid w:val="00CB71C5"/>
    <w:rsid w:val="00CB73C4"/>
    <w:rsid w:val="00CC0948"/>
    <w:rsid w:val="00CC22FD"/>
    <w:rsid w:val="00CC3D18"/>
    <w:rsid w:val="00CC5D56"/>
    <w:rsid w:val="00CC683E"/>
    <w:rsid w:val="00CC732C"/>
    <w:rsid w:val="00CD0120"/>
    <w:rsid w:val="00CD06CE"/>
    <w:rsid w:val="00CD1186"/>
    <w:rsid w:val="00CD1FD1"/>
    <w:rsid w:val="00CE05EB"/>
    <w:rsid w:val="00CE25E7"/>
    <w:rsid w:val="00CE4CC8"/>
    <w:rsid w:val="00CE761F"/>
    <w:rsid w:val="00CF0BEE"/>
    <w:rsid w:val="00CF24E8"/>
    <w:rsid w:val="00CF28EA"/>
    <w:rsid w:val="00CF53B4"/>
    <w:rsid w:val="00CF62CF"/>
    <w:rsid w:val="00CF6F2F"/>
    <w:rsid w:val="00CF70A5"/>
    <w:rsid w:val="00D0014B"/>
    <w:rsid w:val="00D0075A"/>
    <w:rsid w:val="00D024B2"/>
    <w:rsid w:val="00D02B2E"/>
    <w:rsid w:val="00D046B0"/>
    <w:rsid w:val="00D04F84"/>
    <w:rsid w:val="00D056FD"/>
    <w:rsid w:val="00D05B49"/>
    <w:rsid w:val="00D07F59"/>
    <w:rsid w:val="00D11950"/>
    <w:rsid w:val="00D11DD1"/>
    <w:rsid w:val="00D14918"/>
    <w:rsid w:val="00D149BC"/>
    <w:rsid w:val="00D149E7"/>
    <w:rsid w:val="00D14E13"/>
    <w:rsid w:val="00D14F45"/>
    <w:rsid w:val="00D157AE"/>
    <w:rsid w:val="00D15ED9"/>
    <w:rsid w:val="00D1647A"/>
    <w:rsid w:val="00D1710A"/>
    <w:rsid w:val="00D2051E"/>
    <w:rsid w:val="00D21F52"/>
    <w:rsid w:val="00D24955"/>
    <w:rsid w:val="00D249B2"/>
    <w:rsid w:val="00D24B32"/>
    <w:rsid w:val="00D25541"/>
    <w:rsid w:val="00D26E46"/>
    <w:rsid w:val="00D30EA1"/>
    <w:rsid w:val="00D31B93"/>
    <w:rsid w:val="00D3265A"/>
    <w:rsid w:val="00D33C0B"/>
    <w:rsid w:val="00D34236"/>
    <w:rsid w:val="00D34688"/>
    <w:rsid w:val="00D34B28"/>
    <w:rsid w:val="00D34B76"/>
    <w:rsid w:val="00D36C9A"/>
    <w:rsid w:val="00D3776B"/>
    <w:rsid w:val="00D41F8B"/>
    <w:rsid w:val="00D41FD9"/>
    <w:rsid w:val="00D426D7"/>
    <w:rsid w:val="00D42E1B"/>
    <w:rsid w:val="00D442A2"/>
    <w:rsid w:val="00D44B96"/>
    <w:rsid w:val="00D45AF1"/>
    <w:rsid w:val="00D4641B"/>
    <w:rsid w:val="00D467B1"/>
    <w:rsid w:val="00D46BF9"/>
    <w:rsid w:val="00D52007"/>
    <w:rsid w:val="00D526BA"/>
    <w:rsid w:val="00D527E3"/>
    <w:rsid w:val="00D540FA"/>
    <w:rsid w:val="00D55091"/>
    <w:rsid w:val="00D551BE"/>
    <w:rsid w:val="00D55CD7"/>
    <w:rsid w:val="00D60115"/>
    <w:rsid w:val="00D6012E"/>
    <w:rsid w:val="00D61A43"/>
    <w:rsid w:val="00D61C3B"/>
    <w:rsid w:val="00D62CBA"/>
    <w:rsid w:val="00D63A75"/>
    <w:rsid w:val="00D6481A"/>
    <w:rsid w:val="00D64CFB"/>
    <w:rsid w:val="00D65144"/>
    <w:rsid w:val="00D660B7"/>
    <w:rsid w:val="00D667CE"/>
    <w:rsid w:val="00D674F4"/>
    <w:rsid w:val="00D703ED"/>
    <w:rsid w:val="00D7198F"/>
    <w:rsid w:val="00D719B1"/>
    <w:rsid w:val="00D71F8E"/>
    <w:rsid w:val="00D73808"/>
    <w:rsid w:val="00D752AF"/>
    <w:rsid w:val="00D75CC8"/>
    <w:rsid w:val="00D8002C"/>
    <w:rsid w:val="00D8060D"/>
    <w:rsid w:val="00D8295E"/>
    <w:rsid w:val="00D82A5D"/>
    <w:rsid w:val="00D834F7"/>
    <w:rsid w:val="00D84445"/>
    <w:rsid w:val="00D85776"/>
    <w:rsid w:val="00D85908"/>
    <w:rsid w:val="00D85ECE"/>
    <w:rsid w:val="00D912E4"/>
    <w:rsid w:val="00D9134F"/>
    <w:rsid w:val="00D9247B"/>
    <w:rsid w:val="00D9432E"/>
    <w:rsid w:val="00D94390"/>
    <w:rsid w:val="00D95AC1"/>
    <w:rsid w:val="00D97296"/>
    <w:rsid w:val="00D97854"/>
    <w:rsid w:val="00DA0E6F"/>
    <w:rsid w:val="00DA1707"/>
    <w:rsid w:val="00DA4896"/>
    <w:rsid w:val="00DA59F4"/>
    <w:rsid w:val="00DA7944"/>
    <w:rsid w:val="00DB07E8"/>
    <w:rsid w:val="00DB11D8"/>
    <w:rsid w:val="00DB1AF8"/>
    <w:rsid w:val="00DB30E8"/>
    <w:rsid w:val="00DB556C"/>
    <w:rsid w:val="00DB5A68"/>
    <w:rsid w:val="00DC07AD"/>
    <w:rsid w:val="00DC5709"/>
    <w:rsid w:val="00DC5E70"/>
    <w:rsid w:val="00DC7D4F"/>
    <w:rsid w:val="00DD0000"/>
    <w:rsid w:val="00DD0040"/>
    <w:rsid w:val="00DD10B4"/>
    <w:rsid w:val="00DD13F0"/>
    <w:rsid w:val="00DD15C4"/>
    <w:rsid w:val="00DD1F56"/>
    <w:rsid w:val="00DD270E"/>
    <w:rsid w:val="00DD3C86"/>
    <w:rsid w:val="00DD3F45"/>
    <w:rsid w:val="00DD424A"/>
    <w:rsid w:val="00DD443B"/>
    <w:rsid w:val="00DD4E3C"/>
    <w:rsid w:val="00DD4EA5"/>
    <w:rsid w:val="00DD7AD0"/>
    <w:rsid w:val="00DE212B"/>
    <w:rsid w:val="00DE3026"/>
    <w:rsid w:val="00DF04CC"/>
    <w:rsid w:val="00DF2CFC"/>
    <w:rsid w:val="00DF2DF8"/>
    <w:rsid w:val="00DF3A94"/>
    <w:rsid w:val="00DF51C4"/>
    <w:rsid w:val="00DF6F97"/>
    <w:rsid w:val="00DF7092"/>
    <w:rsid w:val="00DF7214"/>
    <w:rsid w:val="00DF7DE2"/>
    <w:rsid w:val="00E00608"/>
    <w:rsid w:val="00E02197"/>
    <w:rsid w:val="00E03A23"/>
    <w:rsid w:val="00E04FBE"/>
    <w:rsid w:val="00E060B0"/>
    <w:rsid w:val="00E0630A"/>
    <w:rsid w:val="00E066E9"/>
    <w:rsid w:val="00E1147A"/>
    <w:rsid w:val="00E12EAC"/>
    <w:rsid w:val="00E1344A"/>
    <w:rsid w:val="00E1631C"/>
    <w:rsid w:val="00E1669F"/>
    <w:rsid w:val="00E171F3"/>
    <w:rsid w:val="00E1771C"/>
    <w:rsid w:val="00E2047E"/>
    <w:rsid w:val="00E20612"/>
    <w:rsid w:val="00E20E00"/>
    <w:rsid w:val="00E218E0"/>
    <w:rsid w:val="00E27F76"/>
    <w:rsid w:val="00E317CC"/>
    <w:rsid w:val="00E32295"/>
    <w:rsid w:val="00E3284E"/>
    <w:rsid w:val="00E3569E"/>
    <w:rsid w:val="00E36BBA"/>
    <w:rsid w:val="00E36C5A"/>
    <w:rsid w:val="00E37232"/>
    <w:rsid w:val="00E401DD"/>
    <w:rsid w:val="00E41D5E"/>
    <w:rsid w:val="00E42773"/>
    <w:rsid w:val="00E43222"/>
    <w:rsid w:val="00E43934"/>
    <w:rsid w:val="00E45504"/>
    <w:rsid w:val="00E4557B"/>
    <w:rsid w:val="00E46FBF"/>
    <w:rsid w:val="00E47C6D"/>
    <w:rsid w:val="00E51F7F"/>
    <w:rsid w:val="00E52534"/>
    <w:rsid w:val="00E5259B"/>
    <w:rsid w:val="00E52CBD"/>
    <w:rsid w:val="00E5417D"/>
    <w:rsid w:val="00E543AB"/>
    <w:rsid w:val="00E554DA"/>
    <w:rsid w:val="00E55AE7"/>
    <w:rsid w:val="00E55B9B"/>
    <w:rsid w:val="00E55CB1"/>
    <w:rsid w:val="00E55EA5"/>
    <w:rsid w:val="00E56600"/>
    <w:rsid w:val="00E56FF5"/>
    <w:rsid w:val="00E6182C"/>
    <w:rsid w:val="00E61949"/>
    <w:rsid w:val="00E636F5"/>
    <w:rsid w:val="00E63703"/>
    <w:rsid w:val="00E662B4"/>
    <w:rsid w:val="00E67C43"/>
    <w:rsid w:val="00E72844"/>
    <w:rsid w:val="00E73C42"/>
    <w:rsid w:val="00E75292"/>
    <w:rsid w:val="00E758C5"/>
    <w:rsid w:val="00E75C89"/>
    <w:rsid w:val="00E76272"/>
    <w:rsid w:val="00E76F9F"/>
    <w:rsid w:val="00E776F5"/>
    <w:rsid w:val="00E80161"/>
    <w:rsid w:val="00E82404"/>
    <w:rsid w:val="00E83146"/>
    <w:rsid w:val="00E83B67"/>
    <w:rsid w:val="00E83FB2"/>
    <w:rsid w:val="00E843BB"/>
    <w:rsid w:val="00E8687E"/>
    <w:rsid w:val="00E90B0F"/>
    <w:rsid w:val="00E90F08"/>
    <w:rsid w:val="00E91ACF"/>
    <w:rsid w:val="00E924DF"/>
    <w:rsid w:val="00E92BF1"/>
    <w:rsid w:val="00E9322F"/>
    <w:rsid w:val="00E948DF"/>
    <w:rsid w:val="00E95BC9"/>
    <w:rsid w:val="00E96525"/>
    <w:rsid w:val="00E97230"/>
    <w:rsid w:val="00EA3A60"/>
    <w:rsid w:val="00EA47BF"/>
    <w:rsid w:val="00EA48B9"/>
    <w:rsid w:val="00EA5BEE"/>
    <w:rsid w:val="00EA68BB"/>
    <w:rsid w:val="00EA6C30"/>
    <w:rsid w:val="00EA7666"/>
    <w:rsid w:val="00EA7C08"/>
    <w:rsid w:val="00EB1178"/>
    <w:rsid w:val="00EB18F9"/>
    <w:rsid w:val="00EB1F9F"/>
    <w:rsid w:val="00EB2064"/>
    <w:rsid w:val="00EB3481"/>
    <w:rsid w:val="00EB3568"/>
    <w:rsid w:val="00EB3FC9"/>
    <w:rsid w:val="00EB4C21"/>
    <w:rsid w:val="00EB593A"/>
    <w:rsid w:val="00EB5EB7"/>
    <w:rsid w:val="00EB62CD"/>
    <w:rsid w:val="00EB70BC"/>
    <w:rsid w:val="00EB71D9"/>
    <w:rsid w:val="00EB7F5A"/>
    <w:rsid w:val="00EC0B69"/>
    <w:rsid w:val="00EC1B2B"/>
    <w:rsid w:val="00EC41B4"/>
    <w:rsid w:val="00EC504D"/>
    <w:rsid w:val="00EC650F"/>
    <w:rsid w:val="00EC7984"/>
    <w:rsid w:val="00ED067D"/>
    <w:rsid w:val="00ED0C0D"/>
    <w:rsid w:val="00ED0E71"/>
    <w:rsid w:val="00ED3C3F"/>
    <w:rsid w:val="00ED3D89"/>
    <w:rsid w:val="00ED3FE2"/>
    <w:rsid w:val="00ED4983"/>
    <w:rsid w:val="00EE128F"/>
    <w:rsid w:val="00EE231A"/>
    <w:rsid w:val="00EE2BAC"/>
    <w:rsid w:val="00EE3CC2"/>
    <w:rsid w:val="00EE4073"/>
    <w:rsid w:val="00EE649A"/>
    <w:rsid w:val="00EE658D"/>
    <w:rsid w:val="00EE6B48"/>
    <w:rsid w:val="00EE76CD"/>
    <w:rsid w:val="00EE7954"/>
    <w:rsid w:val="00EF0392"/>
    <w:rsid w:val="00EF17BD"/>
    <w:rsid w:val="00EF40E3"/>
    <w:rsid w:val="00EF491A"/>
    <w:rsid w:val="00EF5995"/>
    <w:rsid w:val="00EF6067"/>
    <w:rsid w:val="00EF62D8"/>
    <w:rsid w:val="00EF73D5"/>
    <w:rsid w:val="00EF7ECC"/>
    <w:rsid w:val="00F00738"/>
    <w:rsid w:val="00F00D19"/>
    <w:rsid w:val="00F00F99"/>
    <w:rsid w:val="00F010FF"/>
    <w:rsid w:val="00F01373"/>
    <w:rsid w:val="00F01FFC"/>
    <w:rsid w:val="00F028D7"/>
    <w:rsid w:val="00F02ABE"/>
    <w:rsid w:val="00F02B4F"/>
    <w:rsid w:val="00F04AFD"/>
    <w:rsid w:val="00F05512"/>
    <w:rsid w:val="00F077AF"/>
    <w:rsid w:val="00F078A9"/>
    <w:rsid w:val="00F07D5E"/>
    <w:rsid w:val="00F11BE7"/>
    <w:rsid w:val="00F12D56"/>
    <w:rsid w:val="00F1397C"/>
    <w:rsid w:val="00F14F4B"/>
    <w:rsid w:val="00F15B6C"/>
    <w:rsid w:val="00F168EC"/>
    <w:rsid w:val="00F201A9"/>
    <w:rsid w:val="00F20EA1"/>
    <w:rsid w:val="00F210CF"/>
    <w:rsid w:val="00F21908"/>
    <w:rsid w:val="00F224C9"/>
    <w:rsid w:val="00F22F3D"/>
    <w:rsid w:val="00F25823"/>
    <w:rsid w:val="00F25BAC"/>
    <w:rsid w:val="00F26B87"/>
    <w:rsid w:val="00F30734"/>
    <w:rsid w:val="00F30D9F"/>
    <w:rsid w:val="00F31D2A"/>
    <w:rsid w:val="00F32152"/>
    <w:rsid w:val="00F3264D"/>
    <w:rsid w:val="00F33138"/>
    <w:rsid w:val="00F345A2"/>
    <w:rsid w:val="00F3732E"/>
    <w:rsid w:val="00F37596"/>
    <w:rsid w:val="00F37762"/>
    <w:rsid w:val="00F37E35"/>
    <w:rsid w:val="00F4006D"/>
    <w:rsid w:val="00F4033D"/>
    <w:rsid w:val="00F41C10"/>
    <w:rsid w:val="00F41DCF"/>
    <w:rsid w:val="00F43C4A"/>
    <w:rsid w:val="00F43C72"/>
    <w:rsid w:val="00F4650C"/>
    <w:rsid w:val="00F46520"/>
    <w:rsid w:val="00F544CA"/>
    <w:rsid w:val="00F54DEB"/>
    <w:rsid w:val="00F557D5"/>
    <w:rsid w:val="00F562BC"/>
    <w:rsid w:val="00F562EE"/>
    <w:rsid w:val="00F5794C"/>
    <w:rsid w:val="00F616D4"/>
    <w:rsid w:val="00F63A41"/>
    <w:rsid w:val="00F64E69"/>
    <w:rsid w:val="00F666CE"/>
    <w:rsid w:val="00F667C7"/>
    <w:rsid w:val="00F6695E"/>
    <w:rsid w:val="00F67A2B"/>
    <w:rsid w:val="00F70BF6"/>
    <w:rsid w:val="00F71F6D"/>
    <w:rsid w:val="00F72726"/>
    <w:rsid w:val="00F733D9"/>
    <w:rsid w:val="00F7417E"/>
    <w:rsid w:val="00F742DF"/>
    <w:rsid w:val="00F7523E"/>
    <w:rsid w:val="00F758E0"/>
    <w:rsid w:val="00F75DDF"/>
    <w:rsid w:val="00F77539"/>
    <w:rsid w:val="00F775B5"/>
    <w:rsid w:val="00F77643"/>
    <w:rsid w:val="00F777DF"/>
    <w:rsid w:val="00F80767"/>
    <w:rsid w:val="00F808B7"/>
    <w:rsid w:val="00F80D09"/>
    <w:rsid w:val="00F81924"/>
    <w:rsid w:val="00F81D4C"/>
    <w:rsid w:val="00F81DFD"/>
    <w:rsid w:val="00F82843"/>
    <w:rsid w:val="00F82E65"/>
    <w:rsid w:val="00F83B36"/>
    <w:rsid w:val="00F845B8"/>
    <w:rsid w:val="00F853F1"/>
    <w:rsid w:val="00F85858"/>
    <w:rsid w:val="00F8639A"/>
    <w:rsid w:val="00F86443"/>
    <w:rsid w:val="00F86607"/>
    <w:rsid w:val="00F87457"/>
    <w:rsid w:val="00F87661"/>
    <w:rsid w:val="00F90F3D"/>
    <w:rsid w:val="00F93779"/>
    <w:rsid w:val="00F93983"/>
    <w:rsid w:val="00F93D65"/>
    <w:rsid w:val="00F95515"/>
    <w:rsid w:val="00F9640C"/>
    <w:rsid w:val="00F972B2"/>
    <w:rsid w:val="00F978E7"/>
    <w:rsid w:val="00FA2F1B"/>
    <w:rsid w:val="00FA38F7"/>
    <w:rsid w:val="00FA4C54"/>
    <w:rsid w:val="00FA683A"/>
    <w:rsid w:val="00FA7DC4"/>
    <w:rsid w:val="00FB0F8A"/>
    <w:rsid w:val="00FB1043"/>
    <w:rsid w:val="00FB1744"/>
    <w:rsid w:val="00FB17D1"/>
    <w:rsid w:val="00FB21FC"/>
    <w:rsid w:val="00FB2ADD"/>
    <w:rsid w:val="00FB353F"/>
    <w:rsid w:val="00FB3F73"/>
    <w:rsid w:val="00FB6D16"/>
    <w:rsid w:val="00FB7B9B"/>
    <w:rsid w:val="00FB7D8B"/>
    <w:rsid w:val="00FC2421"/>
    <w:rsid w:val="00FC3A33"/>
    <w:rsid w:val="00FC59E9"/>
    <w:rsid w:val="00FC61E4"/>
    <w:rsid w:val="00FC763B"/>
    <w:rsid w:val="00FC77E1"/>
    <w:rsid w:val="00FD0709"/>
    <w:rsid w:val="00FD18C8"/>
    <w:rsid w:val="00FD18DF"/>
    <w:rsid w:val="00FD348D"/>
    <w:rsid w:val="00FD43B0"/>
    <w:rsid w:val="00FD5DB9"/>
    <w:rsid w:val="00FD6771"/>
    <w:rsid w:val="00FD69BC"/>
    <w:rsid w:val="00FE031E"/>
    <w:rsid w:val="00FE09A0"/>
    <w:rsid w:val="00FE12CF"/>
    <w:rsid w:val="00FE1BD1"/>
    <w:rsid w:val="00FE202A"/>
    <w:rsid w:val="00FE2E1A"/>
    <w:rsid w:val="00FE3314"/>
    <w:rsid w:val="00FE3A58"/>
    <w:rsid w:val="00FE4AE7"/>
    <w:rsid w:val="00FE4DE5"/>
    <w:rsid w:val="00FE4E8A"/>
    <w:rsid w:val="00FE704C"/>
    <w:rsid w:val="00FE7891"/>
    <w:rsid w:val="00FE7901"/>
    <w:rsid w:val="00FF11AD"/>
    <w:rsid w:val="00FF2169"/>
    <w:rsid w:val="00FF41A3"/>
    <w:rsid w:val="00FF50A0"/>
    <w:rsid w:val="00FF5CE0"/>
    <w:rsid w:val="00FF6AE3"/>
    <w:rsid w:val="00FF6C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65FA"/>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unhideWhenUsed/>
    <w:rsid w:val="00267DFC"/>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13070506">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B630-EF2B-4F19-92B7-1F6D42B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4246</Words>
  <Characters>23353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27544</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25</cp:revision>
  <cp:lastPrinted>2022-10-12T19:03:00Z</cp:lastPrinted>
  <dcterms:created xsi:type="dcterms:W3CDTF">2022-08-29T13:56:00Z</dcterms:created>
  <dcterms:modified xsi:type="dcterms:W3CDTF">2022-10-12T19:03:00Z</dcterms:modified>
</cp:coreProperties>
</file>